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9" w:rsidRDefault="00BE2F69" w:rsidP="00BE2F69">
      <w:pPr>
        <w:pStyle w:val="Default"/>
        <w:jc w:val="center"/>
      </w:pPr>
      <w:r>
        <w:rPr>
          <w:noProof/>
        </w:rPr>
        <w:drawing>
          <wp:inline distT="0" distB="0" distL="0" distR="0" wp14:anchorId="6B49E3A2" wp14:editId="0CAE9CB7">
            <wp:extent cx="5170441" cy="16995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9916" cy="1715767"/>
                    </a:xfrm>
                    <a:prstGeom prst="rect">
                      <a:avLst/>
                    </a:prstGeom>
                    <a:noFill/>
                    <a:ln>
                      <a:noFill/>
                    </a:ln>
                  </pic:spPr>
                </pic:pic>
              </a:graphicData>
            </a:graphic>
          </wp:inline>
        </w:drawing>
      </w:r>
    </w:p>
    <w:p w:rsidR="00BE2F69" w:rsidRDefault="00BE2F69" w:rsidP="00BE2F69">
      <w:pPr>
        <w:pStyle w:val="Default"/>
        <w:jc w:val="center"/>
        <w:rPr>
          <w:rFonts w:ascii="Times New Roman" w:hAnsi="Times New Roman" w:cs="Times New Roman"/>
          <w:b/>
          <w:bCs/>
          <w:sz w:val="32"/>
          <w:szCs w:val="32"/>
        </w:rPr>
      </w:pPr>
      <w:r w:rsidRPr="001C60F4">
        <w:rPr>
          <w:rFonts w:ascii="Times New Roman" w:hAnsi="Times New Roman" w:cs="Times New Roman"/>
          <w:b/>
          <w:bCs/>
          <w:sz w:val="32"/>
          <w:szCs w:val="32"/>
        </w:rPr>
        <w:t>MASTER DE SCIENCE POLITIQUE</w:t>
      </w:r>
      <w:r>
        <w:rPr>
          <w:rFonts w:ascii="Times New Roman" w:hAnsi="Times New Roman" w:cs="Times New Roman"/>
          <w:b/>
          <w:bCs/>
          <w:sz w:val="32"/>
          <w:szCs w:val="32"/>
        </w:rPr>
        <w:t xml:space="preserve"> |</w:t>
      </w:r>
      <w:r w:rsidRPr="001C60F4">
        <w:rPr>
          <w:rFonts w:ascii="Times New Roman" w:hAnsi="Times New Roman" w:cs="Times New Roman"/>
          <w:b/>
          <w:bCs/>
          <w:sz w:val="32"/>
          <w:szCs w:val="32"/>
        </w:rPr>
        <w:t xml:space="preserve"> LMD5</w:t>
      </w:r>
    </w:p>
    <w:p w:rsidR="00BE2F69" w:rsidRPr="001C60F4" w:rsidRDefault="00BE2F69" w:rsidP="00BE2F69">
      <w:pPr>
        <w:pStyle w:val="Default"/>
        <w:jc w:val="center"/>
        <w:rPr>
          <w:rFonts w:ascii="Times New Roman" w:hAnsi="Times New Roman" w:cs="Times New Roman"/>
          <w:sz w:val="32"/>
          <w:szCs w:val="32"/>
        </w:rPr>
      </w:pPr>
    </w:p>
    <w:p w:rsidR="00BE2F69" w:rsidRPr="00A37D2D" w:rsidRDefault="00BE2F69" w:rsidP="00BE2F69">
      <w:pPr>
        <w:pStyle w:val="Default"/>
        <w:jc w:val="center"/>
        <w:rPr>
          <w:rFonts w:ascii="Times New Roman" w:hAnsi="Times New Roman" w:cs="Times New Roman"/>
          <w:b/>
          <w:bCs/>
          <w:color w:val="077B30"/>
        </w:rPr>
      </w:pPr>
      <w:r w:rsidRPr="00A37D2D">
        <w:rPr>
          <w:rFonts w:ascii="Times New Roman" w:hAnsi="Times New Roman" w:cs="Times New Roman"/>
          <w:b/>
          <w:bCs/>
          <w:color w:val="077B30"/>
          <w:sz w:val="28"/>
          <w:szCs w:val="28"/>
        </w:rPr>
        <w:t xml:space="preserve">PARCOURS </w:t>
      </w:r>
      <w:r w:rsidR="005B54FC">
        <w:rPr>
          <w:rFonts w:ascii="Times New Roman" w:hAnsi="Times New Roman" w:cs="Times New Roman"/>
          <w:b/>
          <w:bCs/>
          <w:color w:val="077B30"/>
          <w:sz w:val="28"/>
          <w:szCs w:val="28"/>
        </w:rPr>
        <w:t>DIVERSITE ET DISCRIMINATIONS</w:t>
      </w:r>
    </w:p>
    <w:p w:rsidR="00BE2F69" w:rsidRPr="001C60F4" w:rsidRDefault="00BE2F69" w:rsidP="00BE2F69">
      <w:pPr>
        <w:pStyle w:val="Default"/>
        <w:rPr>
          <w:rFonts w:ascii="Times New Roman" w:hAnsi="Times New Roman" w:cs="Times New Roman"/>
        </w:rPr>
      </w:pPr>
    </w:p>
    <w:p w:rsidR="00BE2F69" w:rsidRPr="00E12684" w:rsidRDefault="00BE2F69" w:rsidP="006501CC">
      <w:pPr>
        <w:pStyle w:val="Default"/>
        <w:jc w:val="both"/>
        <w:rPr>
          <w:rFonts w:ascii="Times New Roman" w:hAnsi="Times New Roman" w:cs="Times New Roman"/>
          <w:sz w:val="27"/>
          <w:szCs w:val="27"/>
        </w:rPr>
      </w:pPr>
      <w:r w:rsidRPr="00E12684">
        <w:rPr>
          <w:rFonts w:ascii="Times New Roman" w:hAnsi="Times New Roman" w:cs="Times New Roman"/>
          <w:b/>
          <w:bCs/>
          <w:sz w:val="27"/>
          <w:szCs w:val="27"/>
        </w:rPr>
        <w:t xml:space="preserve">La formation </w:t>
      </w:r>
    </w:p>
    <w:p w:rsidR="00BE2F69" w:rsidRPr="001C60F4" w:rsidRDefault="00BE2F69" w:rsidP="006501CC">
      <w:pPr>
        <w:pStyle w:val="Default"/>
        <w:jc w:val="both"/>
        <w:rPr>
          <w:rFonts w:ascii="Times New Roman" w:hAnsi="Times New Roman" w:cs="Times New Roman"/>
          <w:b/>
          <w:bCs/>
        </w:rPr>
      </w:pPr>
    </w:p>
    <w:p w:rsidR="005B54FC" w:rsidRPr="005B54FC" w:rsidRDefault="00BE2F69" w:rsidP="006501CC">
      <w:pPr>
        <w:pStyle w:val="Default"/>
        <w:jc w:val="both"/>
        <w:rPr>
          <w:rFonts w:ascii="Times New Roman" w:eastAsia="Times New Roman" w:hAnsi="Times New Roman" w:cs="Times New Roman"/>
        </w:rPr>
      </w:pPr>
      <w:r w:rsidRPr="001C60F4">
        <w:rPr>
          <w:rFonts w:ascii="Times New Roman" w:hAnsi="Times New Roman" w:cs="Times New Roman"/>
          <w:b/>
          <w:bCs/>
        </w:rPr>
        <w:t xml:space="preserve">Le parcours </w:t>
      </w:r>
      <w:r w:rsidR="005B54FC">
        <w:rPr>
          <w:rFonts w:ascii="Times New Roman" w:hAnsi="Times New Roman" w:cs="Times New Roman"/>
          <w:b/>
          <w:bCs/>
          <w:i/>
        </w:rPr>
        <w:t>Diversité et discrimination</w:t>
      </w:r>
      <w:r w:rsidR="00AD4CFD">
        <w:rPr>
          <w:rFonts w:ascii="Times New Roman" w:hAnsi="Times New Roman" w:cs="Times New Roman"/>
          <w:b/>
          <w:bCs/>
          <w:i/>
        </w:rPr>
        <w:t>s</w:t>
      </w:r>
      <w:r w:rsidR="005B54FC" w:rsidRPr="005B54FC">
        <w:rPr>
          <w:rFonts w:ascii="Times New Roman" w:eastAsia="Times New Roman" w:hAnsi="Times New Roman" w:cs="Times New Roman"/>
        </w:rPr>
        <w:t xml:space="preserve"> du master de science politique propose une formation pratique et théorique à l’analyse des inégalités contemporaines et aux dispositifs d’action publique visant à les résorber.</w:t>
      </w:r>
    </w:p>
    <w:p w:rsidR="005B54FC" w:rsidRPr="005B54FC" w:rsidRDefault="005B54FC" w:rsidP="006501CC">
      <w:pPr>
        <w:pStyle w:val="Default"/>
        <w:jc w:val="both"/>
        <w:rPr>
          <w:rFonts w:ascii="Times New Roman" w:eastAsia="Times New Roman" w:hAnsi="Times New Roman" w:cs="Times New Roman"/>
        </w:rPr>
      </w:pPr>
    </w:p>
    <w:p w:rsidR="005B54FC" w:rsidRPr="005B54FC" w:rsidRDefault="005B54FC" w:rsidP="006501CC">
      <w:pPr>
        <w:pStyle w:val="Default"/>
        <w:jc w:val="both"/>
        <w:rPr>
          <w:rFonts w:ascii="Times New Roman" w:eastAsia="Times New Roman" w:hAnsi="Times New Roman" w:cs="Times New Roman"/>
        </w:rPr>
      </w:pPr>
      <w:r w:rsidRPr="005B54FC">
        <w:rPr>
          <w:rFonts w:ascii="Times New Roman" w:eastAsia="Times New Roman" w:hAnsi="Times New Roman" w:cs="Times New Roman"/>
        </w:rPr>
        <w:t>Il propose des enseignements approfondis, dispensés par des chercheuses et chercheurs spécialistes reconnu</w:t>
      </w:r>
      <w:r w:rsidR="007A5475">
        <w:rPr>
          <w:rFonts w:ascii="Times New Roman" w:eastAsia="Times New Roman" w:hAnsi="Times New Roman" w:cs="Times New Roman"/>
        </w:rPr>
        <w:t>.e</w:t>
      </w:r>
      <w:r w:rsidRPr="005B54FC">
        <w:rPr>
          <w:rFonts w:ascii="Times New Roman" w:eastAsia="Times New Roman" w:hAnsi="Times New Roman" w:cs="Times New Roman"/>
        </w:rPr>
        <w:t>s de ces questions, permettant de comprendre et de décrypter les mécanismes et les processus qui produisent les inégalités, de connaître les différents types d’inégalités et de discriminations (socioéconomique</w:t>
      </w:r>
      <w:r w:rsidR="007A5475">
        <w:rPr>
          <w:rFonts w:ascii="Times New Roman" w:eastAsia="Times New Roman" w:hAnsi="Times New Roman" w:cs="Times New Roman"/>
        </w:rPr>
        <w:t>s</w:t>
      </w:r>
      <w:r w:rsidRPr="005B54FC">
        <w:rPr>
          <w:rFonts w:ascii="Times New Roman" w:eastAsia="Times New Roman" w:hAnsi="Times New Roman" w:cs="Times New Roman"/>
        </w:rPr>
        <w:t>, de genre, ethno-raciales, urbaines, liées au handicap, etc.) et la façon dont celles-ci s’articulent entre elles.</w:t>
      </w:r>
    </w:p>
    <w:p w:rsidR="005B54FC" w:rsidRPr="005B54FC" w:rsidRDefault="005B54FC" w:rsidP="006501CC">
      <w:pPr>
        <w:pStyle w:val="Default"/>
        <w:jc w:val="both"/>
        <w:rPr>
          <w:rFonts w:ascii="Times New Roman" w:eastAsia="Times New Roman" w:hAnsi="Times New Roman" w:cs="Times New Roman"/>
        </w:rPr>
      </w:pPr>
    </w:p>
    <w:p w:rsidR="00BE2F69" w:rsidRPr="001C60F4" w:rsidRDefault="005B54FC" w:rsidP="006501CC">
      <w:pPr>
        <w:pStyle w:val="Default"/>
        <w:jc w:val="both"/>
        <w:rPr>
          <w:rFonts w:ascii="Times New Roman" w:eastAsia="Times New Roman" w:hAnsi="Times New Roman" w:cs="Times New Roman"/>
        </w:rPr>
      </w:pPr>
      <w:r w:rsidRPr="005B54FC">
        <w:rPr>
          <w:rFonts w:ascii="Times New Roman" w:eastAsia="Times New Roman" w:hAnsi="Times New Roman" w:cs="Times New Roman"/>
        </w:rPr>
        <w:t>Il s’inscrit dans un nouveau champ de l’action publique : la lutte contre les discrimination</w:t>
      </w:r>
      <w:r>
        <w:rPr>
          <w:rFonts w:ascii="Times New Roman" w:eastAsia="Times New Roman" w:hAnsi="Times New Roman" w:cs="Times New Roman"/>
        </w:rPr>
        <w:t>s</w:t>
      </w:r>
      <w:r w:rsidRPr="005B54FC">
        <w:rPr>
          <w:rFonts w:ascii="Times New Roman" w:eastAsia="Times New Roman" w:hAnsi="Times New Roman" w:cs="Times New Roman"/>
        </w:rPr>
        <w:t xml:space="preserve"> (LCD). La formation permet ainsi d’acquérir une connaissance fine des dispositifs, des acteurs et des outils de la LCD, tout en intégrant une approche critique de ces outils</w:t>
      </w:r>
      <w:r w:rsidR="00BE2F69" w:rsidRPr="001C60F4">
        <w:rPr>
          <w:rFonts w:ascii="Times New Roman" w:eastAsia="Times New Roman" w:hAnsi="Times New Roman" w:cs="Times New Roman"/>
        </w:rPr>
        <w:t>.</w:t>
      </w:r>
    </w:p>
    <w:p w:rsidR="00BE2F69" w:rsidRPr="001C60F4" w:rsidRDefault="00BE2F69" w:rsidP="006501CC">
      <w:pPr>
        <w:spacing w:before="100" w:beforeAutospacing="1" w:after="100" w:afterAutospacing="1"/>
        <w:jc w:val="both"/>
        <w:rPr>
          <w:rFonts w:ascii="Times New Roman" w:eastAsia="Times New Roman" w:hAnsi="Times New Roman" w:cs="Times New Roman"/>
          <w:sz w:val="24"/>
          <w:szCs w:val="24"/>
        </w:rPr>
      </w:pPr>
      <w:r w:rsidRPr="001C60F4">
        <w:rPr>
          <w:rFonts w:ascii="Times New Roman" w:eastAsia="Times New Roman" w:hAnsi="Times New Roman" w:cs="Times New Roman"/>
          <w:sz w:val="24"/>
          <w:szCs w:val="24"/>
        </w:rPr>
        <w:t xml:space="preserve">Voir ci-dessous le </w:t>
      </w:r>
      <w:r w:rsidRPr="00E12684">
        <w:rPr>
          <w:rFonts w:ascii="Times New Roman" w:eastAsia="Times New Roman" w:hAnsi="Times New Roman" w:cs="Times New Roman"/>
          <w:b/>
          <w:sz w:val="27"/>
          <w:szCs w:val="27"/>
        </w:rPr>
        <w:t>programme complet des enseignements</w:t>
      </w:r>
    </w:p>
    <w:p w:rsidR="00BE2F69" w:rsidRPr="001C60F4" w:rsidRDefault="00BE2F69" w:rsidP="006501CC">
      <w:pPr>
        <w:pStyle w:val="Titre3"/>
        <w:jc w:val="both"/>
      </w:pPr>
      <w:r w:rsidRPr="001C60F4">
        <w:t>L’équipe et les partenariats</w:t>
      </w:r>
    </w:p>
    <w:p w:rsidR="005B54FC" w:rsidRDefault="005B54FC" w:rsidP="006501CC">
      <w:pPr>
        <w:pStyle w:val="NormalWeb"/>
        <w:jc w:val="both"/>
      </w:pPr>
      <w:r>
        <w:t>L’équipe pédagogique se compose d’</w:t>
      </w:r>
      <w:proofErr w:type="spellStart"/>
      <w:r>
        <w:t>enseignant.</w:t>
      </w:r>
      <w:proofErr w:type="gramStart"/>
      <w:r>
        <w:t>e.s</w:t>
      </w:r>
      <w:proofErr w:type="gramEnd"/>
      <w:r>
        <w:t>-chercheur.e.s</w:t>
      </w:r>
      <w:proofErr w:type="spellEnd"/>
      <w:r>
        <w:t xml:space="preserve"> et de </w:t>
      </w:r>
      <w:proofErr w:type="spellStart"/>
      <w:r>
        <w:t>chercheur.e.s</w:t>
      </w:r>
      <w:proofErr w:type="spellEnd"/>
      <w:r>
        <w:t xml:space="preserve"> du CNRS, principalement membres du Centre de recherches sociologiques et politiques de Paris (CRESPPA) et du Laboratoire d’études sur le genre et les sexualités (LEGS). Le master peut en outre compter sur l’Institut du Genre et le Groupement d’Intérêt Scientifique Démocratie et Participation.</w:t>
      </w:r>
    </w:p>
    <w:p w:rsidR="005B54FC" w:rsidRDefault="00006B55" w:rsidP="006501CC">
      <w:pPr>
        <w:pStyle w:val="NormalWeb"/>
        <w:jc w:val="both"/>
      </w:pPr>
      <w:r>
        <w:t>L</w:t>
      </w:r>
      <w:r w:rsidR="005B54FC">
        <w:t xml:space="preserve">a formation se fait en lien étroit avec les </w:t>
      </w:r>
      <w:proofErr w:type="spellStart"/>
      <w:r w:rsidR="005B54FC">
        <w:t>professionnel.</w:t>
      </w:r>
      <w:proofErr w:type="gramStart"/>
      <w:r w:rsidR="005B54FC">
        <w:t>le.s</w:t>
      </w:r>
      <w:proofErr w:type="spellEnd"/>
      <w:proofErr w:type="gramEnd"/>
      <w:r w:rsidR="005B54FC">
        <w:t xml:space="preserve"> du secteur de la lutte contre les discriminations et contre les inégalités. Une partie des enseignements sont dispensés par des </w:t>
      </w:r>
      <w:proofErr w:type="spellStart"/>
      <w:r w:rsidR="005B54FC">
        <w:t>professionnel.</w:t>
      </w:r>
      <w:proofErr w:type="gramStart"/>
      <w:r w:rsidR="005B54FC">
        <w:t>le.s</w:t>
      </w:r>
      <w:proofErr w:type="spellEnd"/>
      <w:proofErr w:type="gramEnd"/>
      <w:r w:rsidR="005B54FC">
        <w:t xml:space="preserve"> (secteur associatif et institutions publiques), qui sont pleinement intégré</w:t>
      </w:r>
      <w:r>
        <w:t>.e</w:t>
      </w:r>
      <w:r w:rsidR="005B54FC">
        <w:t xml:space="preserve">s à l’équipe pédagogique, et de nombreux acteurs de terrain interviennent ainsi ponctuellement auprès des </w:t>
      </w:r>
      <w:proofErr w:type="spellStart"/>
      <w:r w:rsidR="005B54FC">
        <w:t>étudiant.e.s</w:t>
      </w:r>
      <w:proofErr w:type="spellEnd"/>
      <w:r w:rsidR="005B54FC">
        <w:t>.</w:t>
      </w:r>
    </w:p>
    <w:p w:rsidR="00BE2F69" w:rsidRPr="001C60F4" w:rsidRDefault="00BE2F69" w:rsidP="006501CC">
      <w:pPr>
        <w:pStyle w:val="NormalWeb"/>
        <w:jc w:val="both"/>
      </w:pPr>
      <w:r w:rsidRPr="001C60F4">
        <w:t xml:space="preserve">La formation repose également sur </w:t>
      </w:r>
      <w:r w:rsidRPr="00E12684">
        <w:rPr>
          <w:b/>
        </w:rPr>
        <w:t xml:space="preserve">des partenariats et des projets collaboratifs avec des organisations du champ </w:t>
      </w:r>
      <w:r w:rsidR="005B54FC">
        <w:rPr>
          <w:b/>
        </w:rPr>
        <w:t>de la LCD</w:t>
      </w:r>
      <w:r w:rsidRPr="001C60F4">
        <w:t xml:space="preserve"> </w:t>
      </w:r>
      <w:r w:rsidR="005B54FC">
        <w:t>(Mairie de Bagnolet)</w:t>
      </w:r>
      <w:r w:rsidRPr="001C60F4">
        <w:t>.</w:t>
      </w:r>
    </w:p>
    <w:p w:rsidR="00BE2F69" w:rsidRPr="001C60F4" w:rsidRDefault="00BE2F69" w:rsidP="006501CC">
      <w:pPr>
        <w:pStyle w:val="Titre3"/>
        <w:jc w:val="both"/>
      </w:pPr>
      <w:r>
        <w:lastRenderedPageBreak/>
        <w:t>Les débouchés</w:t>
      </w:r>
    </w:p>
    <w:p w:rsidR="00BE2F69" w:rsidRPr="001C60F4" w:rsidRDefault="005B54FC" w:rsidP="006501CC">
      <w:pPr>
        <w:pStyle w:val="NormalWeb"/>
        <w:jc w:val="both"/>
      </w:pPr>
      <w:r w:rsidRPr="005B54FC">
        <w:t xml:space="preserve">Le parcours </w:t>
      </w:r>
      <w:r w:rsidRPr="00006B55">
        <w:rPr>
          <w:i/>
        </w:rPr>
        <w:t>Diversité et discrimination</w:t>
      </w:r>
      <w:r w:rsidR="000C5944">
        <w:rPr>
          <w:i/>
        </w:rPr>
        <w:t>s</w:t>
      </w:r>
      <w:bookmarkStart w:id="0" w:name="_GoBack"/>
      <w:bookmarkEnd w:id="0"/>
      <w:r w:rsidRPr="005B54FC">
        <w:t xml:space="preserve"> permet de se professionnaliser dans le domaine de</w:t>
      </w:r>
      <w:r w:rsidR="00006B55">
        <w:t>s</w:t>
      </w:r>
      <w:r w:rsidRPr="005B54FC">
        <w:t xml:space="preserve"> luttes contre les discriminations et les inégalités. Les divers enseignements professionnalisants, ainsi que les partenariats noués avec divers organismes (associations</w:t>
      </w:r>
      <w:r w:rsidR="00006B55">
        <w:t>,</w:t>
      </w:r>
      <w:r w:rsidRPr="005B54FC">
        <w:t xml:space="preserve"> collectivités, entreprises </w:t>
      </w:r>
      <w:proofErr w:type="spellStart"/>
      <w:r w:rsidRPr="005B54FC">
        <w:t>etc</w:t>
      </w:r>
      <w:proofErr w:type="spellEnd"/>
      <w:r w:rsidRPr="005B54FC">
        <w:t xml:space="preserve">) permettent de disposer d’une excellente connaissance du milieu professionnel et de se former à la conduite de projet. Le stage de master 2, optionnel mais le plus souvent choisi par les </w:t>
      </w:r>
      <w:proofErr w:type="spellStart"/>
      <w:r w:rsidRPr="005B54FC">
        <w:t>étudiant.</w:t>
      </w:r>
      <w:proofErr w:type="gramStart"/>
      <w:r w:rsidRPr="005B54FC">
        <w:t>e.s</w:t>
      </w:r>
      <w:proofErr w:type="spellEnd"/>
      <w:proofErr w:type="gramEnd"/>
      <w:r w:rsidRPr="005B54FC">
        <w:t>, permet d’approfondir la formation dans l’une des nombreuses institutions publique</w:t>
      </w:r>
      <w:r w:rsidR="00006B55">
        <w:t>s</w:t>
      </w:r>
      <w:r w:rsidRPr="005B54FC">
        <w:t>, associations ou entreprises avec lesquelles le master a tissé des liens.</w:t>
      </w:r>
    </w:p>
    <w:p w:rsidR="005B54FC" w:rsidRDefault="005B54FC" w:rsidP="006501CC">
      <w:pPr>
        <w:pStyle w:val="NormalWeb"/>
        <w:jc w:val="both"/>
      </w:pPr>
      <w:r>
        <w:t xml:space="preserve">L’enseignement est également lié à la recherche, à travers plusieurs enseignements spécialisés (méthodes de la recherche, séminaire de recherche, tutorat pour la préparation du mémoire, etc.) qui offrent aux </w:t>
      </w:r>
      <w:proofErr w:type="spellStart"/>
      <w:r>
        <w:t>étudiant.</w:t>
      </w:r>
      <w:proofErr w:type="gramStart"/>
      <w:r>
        <w:t>e.s</w:t>
      </w:r>
      <w:proofErr w:type="spellEnd"/>
      <w:proofErr w:type="gramEnd"/>
      <w:r>
        <w:t xml:space="preserve"> une initiation à la recherche. Le master prépare aussi à la poursuite d’études en doctorat au sein des laboratoires et écoles doctorales associés, où quelques financements de thèse sont ouverts chaque année.</w:t>
      </w:r>
    </w:p>
    <w:p w:rsidR="00BE2F69" w:rsidRPr="001C60F4" w:rsidRDefault="005B54FC" w:rsidP="006501CC">
      <w:pPr>
        <w:pStyle w:val="NormalWeb"/>
        <w:jc w:val="both"/>
      </w:pPr>
      <w:r>
        <w:t>Le master permet de s’insérer sur le marché de l’emploi dans le secteur public (ministère, agences publiques, etc.), dans les collectivités locales, les associations et ONG, les agences de conseil ou les services ressources humaines de grandes entreprises privées. Il permet aussi de se professionnaliser dans les métiers de la recherche</w:t>
      </w:r>
      <w:r w:rsidR="00BE2F69" w:rsidRPr="001C60F4">
        <w:t>.</w:t>
      </w:r>
    </w:p>
    <w:p w:rsidR="00BE2F69" w:rsidRPr="001C60F4" w:rsidRDefault="00BE2F69" w:rsidP="006501CC">
      <w:pPr>
        <w:pStyle w:val="Titre3"/>
        <w:jc w:val="both"/>
      </w:pPr>
      <w:r w:rsidRPr="001C60F4">
        <w:t>Conditions d’accès</w:t>
      </w:r>
    </w:p>
    <w:p w:rsidR="005B54FC" w:rsidRPr="005B54FC" w:rsidRDefault="005B54FC" w:rsidP="006501CC">
      <w:pPr>
        <w:jc w:val="both"/>
        <w:rPr>
          <w:rFonts w:ascii="Times New Roman" w:eastAsia="Times New Roman" w:hAnsi="Times New Roman" w:cs="Times New Roman"/>
          <w:sz w:val="24"/>
          <w:szCs w:val="24"/>
        </w:rPr>
      </w:pPr>
      <w:r w:rsidRPr="005B54FC">
        <w:rPr>
          <w:rFonts w:ascii="Times New Roman" w:eastAsia="Times New Roman" w:hAnsi="Times New Roman" w:cs="Times New Roman"/>
          <w:sz w:val="24"/>
          <w:szCs w:val="24"/>
        </w:rPr>
        <w:t xml:space="preserve">Le parcours </w:t>
      </w:r>
      <w:r w:rsidRPr="004900F8">
        <w:rPr>
          <w:rFonts w:ascii="Times New Roman" w:eastAsia="Times New Roman" w:hAnsi="Times New Roman" w:cs="Times New Roman"/>
          <w:i/>
          <w:sz w:val="24"/>
          <w:szCs w:val="24"/>
        </w:rPr>
        <w:t>Diversité et discriminations</w:t>
      </w:r>
      <w:r w:rsidRPr="005B54FC">
        <w:rPr>
          <w:rFonts w:ascii="Times New Roman" w:eastAsia="Times New Roman" w:hAnsi="Times New Roman" w:cs="Times New Roman"/>
          <w:sz w:val="24"/>
          <w:szCs w:val="24"/>
        </w:rPr>
        <w:t xml:space="preserve"> offre 30 places en M1.</w:t>
      </w:r>
    </w:p>
    <w:p w:rsidR="005B54FC" w:rsidRPr="005B54FC" w:rsidRDefault="005B54FC" w:rsidP="006501CC">
      <w:pPr>
        <w:jc w:val="both"/>
        <w:rPr>
          <w:rFonts w:ascii="Times New Roman" w:eastAsia="Times New Roman" w:hAnsi="Times New Roman" w:cs="Times New Roman"/>
          <w:sz w:val="24"/>
          <w:szCs w:val="24"/>
        </w:rPr>
      </w:pPr>
    </w:p>
    <w:p w:rsidR="00006B55" w:rsidRDefault="005B54FC" w:rsidP="006501CC">
      <w:pPr>
        <w:jc w:val="both"/>
        <w:rPr>
          <w:rFonts w:ascii="Times New Roman" w:eastAsia="Times New Roman" w:hAnsi="Times New Roman" w:cs="Times New Roman"/>
          <w:sz w:val="24"/>
          <w:szCs w:val="24"/>
        </w:rPr>
      </w:pPr>
      <w:r w:rsidRPr="005B54FC">
        <w:rPr>
          <w:rFonts w:ascii="Times New Roman" w:eastAsia="Times New Roman" w:hAnsi="Times New Roman" w:cs="Times New Roman"/>
          <w:sz w:val="24"/>
          <w:szCs w:val="24"/>
        </w:rPr>
        <w:t xml:space="preserve">Conditions d’accès : posséder une licence de science politique ou de sciences </w:t>
      </w:r>
      <w:r w:rsidR="00006B55">
        <w:rPr>
          <w:rFonts w:ascii="Times New Roman" w:eastAsia="Times New Roman" w:hAnsi="Times New Roman" w:cs="Times New Roman"/>
          <w:sz w:val="24"/>
          <w:szCs w:val="24"/>
        </w:rPr>
        <w:t xml:space="preserve">humaines et </w:t>
      </w:r>
      <w:r w:rsidRPr="005B54FC">
        <w:rPr>
          <w:rFonts w:ascii="Times New Roman" w:eastAsia="Times New Roman" w:hAnsi="Times New Roman" w:cs="Times New Roman"/>
          <w:sz w:val="24"/>
          <w:szCs w:val="24"/>
        </w:rPr>
        <w:t xml:space="preserve">sociales ; ou des études, une expérience professionnelle ou personnelle permettant la validation des acquis de l’expérience. </w:t>
      </w:r>
    </w:p>
    <w:p w:rsidR="005B54FC" w:rsidRPr="005B54FC" w:rsidRDefault="005B54FC" w:rsidP="006501CC">
      <w:pPr>
        <w:jc w:val="both"/>
        <w:rPr>
          <w:rFonts w:ascii="Times New Roman" w:eastAsia="Times New Roman" w:hAnsi="Times New Roman" w:cs="Times New Roman"/>
          <w:sz w:val="24"/>
          <w:szCs w:val="24"/>
        </w:rPr>
      </w:pPr>
      <w:r w:rsidRPr="005B54FC">
        <w:rPr>
          <w:rFonts w:ascii="Times New Roman" w:eastAsia="Times New Roman" w:hAnsi="Times New Roman" w:cs="Times New Roman"/>
          <w:sz w:val="24"/>
          <w:szCs w:val="24"/>
        </w:rPr>
        <w:t>Pour les titulaires d’un M1, il est possible de candidater directement en M2.</w:t>
      </w:r>
    </w:p>
    <w:p w:rsidR="005B54FC" w:rsidRPr="005B54FC" w:rsidRDefault="005B54FC" w:rsidP="006501CC">
      <w:pPr>
        <w:jc w:val="both"/>
        <w:rPr>
          <w:rFonts w:ascii="Times New Roman" w:eastAsia="Times New Roman" w:hAnsi="Times New Roman" w:cs="Times New Roman"/>
          <w:sz w:val="24"/>
          <w:szCs w:val="24"/>
        </w:rPr>
      </w:pPr>
    </w:p>
    <w:p w:rsidR="00006B55" w:rsidRDefault="005B54FC" w:rsidP="006501CC">
      <w:pPr>
        <w:jc w:val="both"/>
        <w:rPr>
          <w:rFonts w:ascii="Times New Roman" w:eastAsia="Times New Roman" w:hAnsi="Times New Roman" w:cs="Times New Roman"/>
          <w:sz w:val="24"/>
          <w:szCs w:val="24"/>
        </w:rPr>
      </w:pPr>
      <w:r w:rsidRPr="005B54FC">
        <w:rPr>
          <w:rFonts w:ascii="Times New Roman" w:eastAsia="Times New Roman" w:hAnsi="Times New Roman" w:cs="Times New Roman"/>
          <w:sz w:val="24"/>
          <w:szCs w:val="24"/>
        </w:rPr>
        <w:t>Le passage en M2 est automatique pour les étudiants ayant réussi leur M1.</w:t>
      </w:r>
    </w:p>
    <w:p w:rsidR="00006B55" w:rsidRDefault="00006B55" w:rsidP="006501CC">
      <w:pPr>
        <w:jc w:val="both"/>
        <w:rPr>
          <w:rFonts w:ascii="Times New Roman" w:hAnsi="Times New Roman" w:cs="Times New Roman"/>
          <w:sz w:val="24"/>
          <w:szCs w:val="24"/>
        </w:rPr>
      </w:pPr>
    </w:p>
    <w:p w:rsidR="00BE2F69" w:rsidRPr="001C60F4" w:rsidRDefault="00BE2F69" w:rsidP="006501CC">
      <w:pPr>
        <w:jc w:val="both"/>
        <w:rPr>
          <w:rStyle w:val="Lienhypertexte"/>
          <w:rFonts w:ascii="Times New Roman" w:hAnsi="Times New Roman" w:cs="Times New Roman"/>
          <w:sz w:val="24"/>
          <w:szCs w:val="24"/>
        </w:rPr>
      </w:pPr>
      <w:r w:rsidRPr="001C60F4">
        <w:rPr>
          <w:rFonts w:ascii="Times New Roman" w:hAnsi="Times New Roman" w:cs="Times New Roman"/>
          <w:sz w:val="24"/>
          <w:szCs w:val="24"/>
        </w:rPr>
        <w:t>En dehors des voies d’accès dérogatoires (</w:t>
      </w:r>
      <w:hyperlink r:id="rId6" w:history="1">
        <w:r w:rsidRPr="001C60F4">
          <w:rPr>
            <w:rStyle w:val="Lienhypertexte"/>
            <w:rFonts w:ascii="Times New Roman" w:hAnsi="Times New Roman" w:cs="Times New Roman"/>
            <w:sz w:val="24"/>
            <w:szCs w:val="24"/>
          </w:rPr>
          <w:t>Etudes en France</w:t>
        </w:r>
      </w:hyperlink>
      <w:r w:rsidRPr="001C60F4">
        <w:rPr>
          <w:rFonts w:ascii="Times New Roman" w:hAnsi="Times New Roman" w:cs="Times New Roman"/>
          <w:sz w:val="24"/>
          <w:szCs w:val="24"/>
        </w:rPr>
        <w:t xml:space="preserve">, </w:t>
      </w:r>
      <w:hyperlink r:id="rId7" w:history="1">
        <w:r w:rsidRPr="001C60F4">
          <w:rPr>
            <w:rStyle w:val="Lienhypertexte"/>
            <w:rFonts w:ascii="Times New Roman" w:hAnsi="Times New Roman" w:cs="Times New Roman"/>
            <w:sz w:val="24"/>
            <w:szCs w:val="24"/>
          </w:rPr>
          <w:t>VAE</w:t>
        </w:r>
      </w:hyperlink>
      <w:r w:rsidRPr="001C60F4">
        <w:rPr>
          <w:rFonts w:ascii="Times New Roman" w:hAnsi="Times New Roman" w:cs="Times New Roman"/>
          <w:sz w:val="24"/>
          <w:szCs w:val="24"/>
        </w:rPr>
        <w:t xml:space="preserve">), les candidatures sont centralisées à travers la plateforme </w:t>
      </w:r>
      <w:hyperlink r:id="rId8" w:history="1">
        <w:r w:rsidRPr="001C60F4">
          <w:rPr>
            <w:rStyle w:val="Lienhypertexte"/>
            <w:rFonts w:ascii="Times New Roman" w:hAnsi="Times New Roman" w:cs="Times New Roman"/>
            <w:sz w:val="24"/>
            <w:szCs w:val="24"/>
          </w:rPr>
          <w:t>Mon Master</w:t>
        </w:r>
      </w:hyperlink>
    </w:p>
    <w:p w:rsidR="00BE2F69" w:rsidRPr="001C60F4" w:rsidRDefault="00BE2F69" w:rsidP="006501CC">
      <w:pPr>
        <w:pStyle w:val="NormalWeb"/>
        <w:jc w:val="both"/>
        <w:rPr>
          <w:rStyle w:val="Lienhypertexte"/>
        </w:rPr>
      </w:pPr>
      <w:r w:rsidRPr="001C60F4">
        <w:t xml:space="preserve">Voir la page </w:t>
      </w:r>
      <w:proofErr w:type="spellStart"/>
      <w:r w:rsidRPr="001C60F4">
        <w:t>MonMaster</w:t>
      </w:r>
      <w:proofErr w:type="spellEnd"/>
      <w:r w:rsidRPr="001C60F4">
        <w:t xml:space="preserve"> de la formation, pour plus de détails sur la procédure et les conditions d’admission : </w:t>
      </w:r>
      <w:hyperlink r:id="rId9" w:history="1">
        <w:r w:rsidR="005B54FC" w:rsidRPr="00916E9D">
          <w:rPr>
            <w:rStyle w:val="Lienhypertexte"/>
          </w:rPr>
          <w:t>https://monmaster.gouv.fr/formation/0931827F/1501062P3I8M/detail</w:t>
        </w:r>
      </w:hyperlink>
      <w:r w:rsidR="005B54FC">
        <w:t xml:space="preserve"> </w:t>
      </w:r>
    </w:p>
    <w:p w:rsidR="00BE2F69" w:rsidRPr="001C60F4" w:rsidRDefault="00BE2F69" w:rsidP="006501CC">
      <w:pPr>
        <w:jc w:val="both"/>
        <w:rPr>
          <w:rFonts w:ascii="Times New Roman" w:hAnsi="Times New Roman" w:cs="Times New Roman"/>
          <w:b/>
          <w:sz w:val="24"/>
          <w:szCs w:val="24"/>
        </w:rPr>
      </w:pPr>
    </w:p>
    <w:p w:rsidR="00BE2F69" w:rsidRPr="00A37D2D" w:rsidRDefault="00BE2F69" w:rsidP="006501CC">
      <w:pPr>
        <w:jc w:val="both"/>
        <w:rPr>
          <w:rFonts w:ascii="Times New Roman" w:hAnsi="Times New Roman" w:cs="Times New Roman"/>
          <w:b/>
          <w:sz w:val="27"/>
          <w:szCs w:val="27"/>
        </w:rPr>
      </w:pPr>
      <w:r w:rsidRPr="00A37D2D">
        <w:rPr>
          <w:rFonts w:ascii="Times New Roman" w:hAnsi="Times New Roman" w:cs="Times New Roman"/>
          <w:b/>
          <w:sz w:val="27"/>
          <w:szCs w:val="27"/>
        </w:rPr>
        <w:t>Programme des enseignements</w:t>
      </w:r>
    </w:p>
    <w:p w:rsidR="00BE2F69" w:rsidRPr="001C60F4" w:rsidRDefault="00BE2F69" w:rsidP="006501CC">
      <w:pPr>
        <w:jc w:val="both"/>
        <w:rPr>
          <w:rFonts w:ascii="Times New Roman" w:hAnsi="Times New Roman" w:cs="Times New Roman"/>
          <w:b/>
          <w:sz w:val="20"/>
          <w:szCs w:val="20"/>
        </w:rPr>
      </w:pPr>
    </w:p>
    <w:tbl>
      <w:tblPr>
        <w:tblStyle w:val="Grilledutableau"/>
        <w:tblW w:w="8218" w:type="dxa"/>
        <w:tblInd w:w="-1" w:type="dxa"/>
        <w:tblLayout w:type="fixed"/>
        <w:tblLook w:val="04A0" w:firstRow="1" w:lastRow="0" w:firstColumn="1" w:lastColumn="0" w:noHBand="0" w:noVBand="1"/>
      </w:tblPr>
      <w:tblGrid>
        <w:gridCol w:w="1847"/>
        <w:gridCol w:w="5237"/>
        <w:gridCol w:w="567"/>
        <w:gridCol w:w="567"/>
      </w:tblGrid>
      <w:tr w:rsidR="004900F8" w:rsidRPr="004900F8" w:rsidTr="001271DB">
        <w:tc>
          <w:tcPr>
            <w:tcW w:w="1847" w:type="dxa"/>
            <w:shd w:val="clear" w:color="auto" w:fill="E2EFD9" w:themeFill="accent6" w:themeFillTint="33"/>
          </w:tcPr>
          <w:p w:rsidR="004900F8" w:rsidRPr="004900F8" w:rsidRDefault="004900F8" w:rsidP="006501CC">
            <w:pPr>
              <w:jc w:val="both"/>
              <w:rPr>
                <w:rFonts w:ascii="Times New Roman" w:hAnsi="Times New Roman" w:cs="Times New Roman"/>
                <w:b/>
                <w:sz w:val="20"/>
                <w:szCs w:val="20"/>
              </w:rPr>
            </w:pPr>
            <w:r w:rsidRPr="004900F8">
              <w:rPr>
                <w:rFonts w:ascii="Times New Roman" w:hAnsi="Times New Roman" w:cs="Times New Roman"/>
                <w:b/>
                <w:sz w:val="20"/>
                <w:szCs w:val="20"/>
              </w:rPr>
              <w:t>UE</w:t>
            </w:r>
          </w:p>
        </w:tc>
        <w:tc>
          <w:tcPr>
            <w:tcW w:w="5237" w:type="dxa"/>
            <w:shd w:val="clear" w:color="auto" w:fill="E2EFD9" w:themeFill="accent6" w:themeFillTint="33"/>
          </w:tcPr>
          <w:p w:rsidR="004900F8" w:rsidRPr="004900F8" w:rsidRDefault="004900F8" w:rsidP="006501CC">
            <w:pPr>
              <w:jc w:val="both"/>
              <w:rPr>
                <w:rFonts w:ascii="Times New Roman" w:hAnsi="Times New Roman" w:cs="Times New Roman"/>
                <w:b/>
                <w:sz w:val="20"/>
                <w:szCs w:val="20"/>
              </w:rPr>
            </w:pPr>
            <w:r w:rsidRPr="004900F8">
              <w:rPr>
                <w:rFonts w:ascii="Times New Roman" w:hAnsi="Times New Roman" w:cs="Times New Roman"/>
                <w:b/>
                <w:sz w:val="20"/>
                <w:szCs w:val="20"/>
              </w:rPr>
              <w:t>Parcours A</w:t>
            </w:r>
          </w:p>
          <w:p w:rsidR="004900F8" w:rsidRPr="004900F8" w:rsidRDefault="004900F8" w:rsidP="006501CC">
            <w:pPr>
              <w:jc w:val="both"/>
              <w:rPr>
                <w:rFonts w:ascii="Times New Roman" w:hAnsi="Times New Roman" w:cs="Times New Roman"/>
                <w:b/>
                <w:sz w:val="20"/>
                <w:szCs w:val="20"/>
              </w:rPr>
            </w:pPr>
            <w:r w:rsidRPr="004900F8">
              <w:rPr>
                <w:rFonts w:ascii="Times New Roman" w:hAnsi="Times New Roman" w:cs="Times New Roman"/>
                <w:b/>
                <w:sz w:val="20"/>
                <w:szCs w:val="20"/>
              </w:rPr>
              <w:t>Diversité et discriminations</w:t>
            </w:r>
          </w:p>
        </w:tc>
        <w:tc>
          <w:tcPr>
            <w:tcW w:w="567" w:type="dxa"/>
            <w:shd w:val="clear" w:color="auto" w:fill="E2EFD9" w:themeFill="accent6" w:themeFillTint="33"/>
          </w:tcPr>
          <w:p w:rsidR="004900F8" w:rsidRPr="004900F8" w:rsidRDefault="004900F8" w:rsidP="006501CC">
            <w:pPr>
              <w:jc w:val="both"/>
              <w:rPr>
                <w:rFonts w:ascii="Times New Roman" w:hAnsi="Times New Roman" w:cs="Times New Roman"/>
                <w:b/>
                <w:sz w:val="20"/>
                <w:szCs w:val="20"/>
              </w:rPr>
            </w:pPr>
            <w:r w:rsidRPr="004900F8">
              <w:rPr>
                <w:rFonts w:ascii="Times New Roman" w:hAnsi="Times New Roman" w:cs="Times New Roman"/>
                <w:b/>
                <w:sz w:val="20"/>
                <w:szCs w:val="20"/>
              </w:rPr>
              <w:t>ECTS</w:t>
            </w:r>
          </w:p>
        </w:tc>
        <w:tc>
          <w:tcPr>
            <w:tcW w:w="567" w:type="dxa"/>
            <w:shd w:val="clear" w:color="auto" w:fill="E2EFD9" w:themeFill="accent6" w:themeFillTint="33"/>
          </w:tcPr>
          <w:p w:rsidR="004900F8" w:rsidRPr="004900F8" w:rsidRDefault="004900F8" w:rsidP="006501CC">
            <w:pPr>
              <w:jc w:val="both"/>
              <w:rPr>
                <w:rFonts w:ascii="Times New Roman" w:hAnsi="Times New Roman" w:cs="Times New Roman"/>
                <w:b/>
                <w:sz w:val="20"/>
                <w:szCs w:val="20"/>
              </w:rPr>
            </w:pPr>
            <w:r w:rsidRPr="004900F8">
              <w:rPr>
                <w:rFonts w:ascii="Times New Roman" w:hAnsi="Times New Roman" w:cs="Times New Roman"/>
                <w:b/>
                <w:sz w:val="20"/>
                <w:szCs w:val="20"/>
              </w:rPr>
              <w:t>Coef.</w:t>
            </w:r>
          </w:p>
        </w:tc>
      </w:tr>
      <w:tr w:rsidR="004900F8" w:rsidRPr="004900F8" w:rsidTr="001271DB">
        <w:tc>
          <w:tcPr>
            <w:tcW w:w="1847" w:type="dxa"/>
            <w:shd w:val="clear" w:color="auto" w:fill="F4B083" w:themeFill="accent2" w:themeFillTint="99"/>
          </w:tcPr>
          <w:p w:rsidR="004900F8" w:rsidRPr="004900F8" w:rsidRDefault="004900F8" w:rsidP="006501CC">
            <w:pPr>
              <w:jc w:val="both"/>
              <w:rPr>
                <w:rFonts w:ascii="Times New Roman" w:hAnsi="Times New Roman" w:cs="Times New Roman"/>
                <w:b/>
                <w:sz w:val="20"/>
                <w:szCs w:val="20"/>
              </w:rPr>
            </w:pPr>
            <w:r w:rsidRPr="004900F8">
              <w:rPr>
                <w:rFonts w:ascii="Times New Roman" w:hAnsi="Times New Roman" w:cs="Times New Roman"/>
                <w:b/>
                <w:sz w:val="20"/>
                <w:szCs w:val="20"/>
              </w:rPr>
              <w:t>Master 1</w:t>
            </w:r>
          </w:p>
        </w:tc>
        <w:tc>
          <w:tcPr>
            <w:tcW w:w="5237" w:type="dxa"/>
            <w:shd w:val="clear" w:color="auto" w:fill="F4B083" w:themeFill="accent2" w:themeFillTint="99"/>
          </w:tcPr>
          <w:p w:rsidR="004900F8" w:rsidRPr="004900F8" w:rsidRDefault="004900F8" w:rsidP="006501CC">
            <w:pPr>
              <w:jc w:val="both"/>
              <w:rPr>
                <w:rFonts w:ascii="Times New Roman" w:hAnsi="Times New Roman" w:cs="Times New Roman"/>
                <w:b/>
                <w:sz w:val="20"/>
                <w:szCs w:val="20"/>
              </w:rPr>
            </w:pPr>
          </w:p>
        </w:tc>
        <w:tc>
          <w:tcPr>
            <w:tcW w:w="567" w:type="dxa"/>
            <w:shd w:val="clear" w:color="auto" w:fill="F4B083" w:themeFill="accent2" w:themeFillTint="99"/>
          </w:tcPr>
          <w:p w:rsidR="004900F8" w:rsidRPr="004900F8" w:rsidRDefault="004900F8" w:rsidP="006501CC">
            <w:pPr>
              <w:jc w:val="both"/>
              <w:rPr>
                <w:rFonts w:ascii="Times New Roman" w:hAnsi="Times New Roman" w:cs="Times New Roman"/>
                <w:b/>
                <w:sz w:val="20"/>
                <w:szCs w:val="20"/>
              </w:rPr>
            </w:pPr>
          </w:p>
        </w:tc>
        <w:tc>
          <w:tcPr>
            <w:tcW w:w="567" w:type="dxa"/>
            <w:shd w:val="clear" w:color="auto" w:fill="F4B083" w:themeFill="accent2" w:themeFillTint="99"/>
          </w:tcPr>
          <w:p w:rsidR="004900F8" w:rsidRPr="004900F8" w:rsidRDefault="004900F8" w:rsidP="006501CC">
            <w:pPr>
              <w:jc w:val="both"/>
              <w:rPr>
                <w:rFonts w:ascii="Times New Roman" w:hAnsi="Times New Roman" w:cs="Times New Roman"/>
                <w:b/>
                <w:sz w:val="20"/>
                <w:szCs w:val="20"/>
              </w:rPr>
            </w:pPr>
          </w:p>
        </w:tc>
      </w:tr>
      <w:tr w:rsidR="004900F8" w:rsidRPr="004900F8" w:rsidTr="001271DB">
        <w:tc>
          <w:tcPr>
            <w:tcW w:w="1847" w:type="dxa"/>
            <w:shd w:val="clear" w:color="auto" w:fill="E7E6E6" w:themeFill="background2"/>
          </w:tcPr>
          <w:p w:rsidR="004900F8" w:rsidRPr="004900F8" w:rsidRDefault="004900F8" w:rsidP="006501CC">
            <w:pPr>
              <w:jc w:val="both"/>
              <w:rPr>
                <w:rFonts w:ascii="Times New Roman" w:hAnsi="Times New Roman" w:cs="Times New Roman"/>
                <w:sz w:val="20"/>
                <w:szCs w:val="20"/>
              </w:rPr>
            </w:pPr>
            <w:r w:rsidRPr="004900F8">
              <w:rPr>
                <w:rFonts w:ascii="Times New Roman" w:hAnsi="Times New Roman" w:cs="Times New Roman"/>
                <w:sz w:val="20"/>
                <w:szCs w:val="20"/>
              </w:rPr>
              <w:t>M1 1</w:t>
            </w:r>
            <w:r w:rsidRPr="004900F8">
              <w:rPr>
                <w:rFonts w:ascii="Times New Roman" w:hAnsi="Times New Roman" w:cs="Times New Roman"/>
                <w:sz w:val="20"/>
                <w:szCs w:val="20"/>
                <w:vertAlign w:val="superscript"/>
              </w:rPr>
              <w:t>er</w:t>
            </w:r>
            <w:r w:rsidRPr="004900F8">
              <w:rPr>
                <w:rFonts w:ascii="Times New Roman" w:hAnsi="Times New Roman" w:cs="Times New Roman"/>
                <w:sz w:val="20"/>
                <w:szCs w:val="20"/>
              </w:rPr>
              <w:t xml:space="preserve"> semestre</w:t>
            </w:r>
          </w:p>
        </w:tc>
        <w:tc>
          <w:tcPr>
            <w:tcW w:w="523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Spécialisation disciplinaire</w:t>
            </w: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Construire et administrer les différences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6</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Action publique et politiques sociales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6</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Discrimination, justice, police</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6</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Ouverture disciplinaire et linguistique</w:t>
            </w:r>
          </w:p>
        </w:tc>
        <w:tc>
          <w:tcPr>
            <w:tcW w:w="523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-Approches critiques du politique</w:t>
            </w:r>
            <w:r w:rsidR="001271DB">
              <w:rPr>
                <w:rFonts w:ascii="Times New Roman" w:hAnsi="Times New Roman" w:cs="Times New Roman"/>
                <w:sz w:val="20"/>
                <w:szCs w:val="20"/>
              </w:rPr>
              <w:t xml:space="preserve">* </w:t>
            </w:r>
            <w:proofErr w:type="gramStart"/>
            <w:r w:rsidRPr="004900F8">
              <w:rPr>
                <w:rFonts w:ascii="Times New Roman" w:hAnsi="Times New Roman" w:cs="Times New Roman"/>
                <w:sz w:val="20"/>
                <w:szCs w:val="20"/>
              </w:rPr>
              <w:t>OU</w:t>
            </w:r>
            <w:proofErr w:type="gramEnd"/>
          </w:p>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-Cours à prendre dans un dépt partenaire</w:t>
            </w:r>
            <w:r w:rsidR="001271DB">
              <w:rPr>
                <w:rFonts w:ascii="Times New Roman" w:hAnsi="Times New Roman" w:cs="Times New Roman"/>
                <w:sz w:val="20"/>
                <w:szCs w:val="20"/>
              </w:rPr>
              <w:t>**</w:t>
            </w:r>
          </w:p>
          <w:p w:rsidR="009F031A" w:rsidRPr="004900F8" w:rsidRDefault="009F031A" w:rsidP="006501CC">
            <w:pPr>
              <w:jc w:val="both"/>
              <w:rPr>
                <w:rFonts w:ascii="Times New Roman" w:hAnsi="Times New Roman" w:cs="Times New Roman"/>
                <w:sz w:val="20"/>
                <w:szCs w:val="20"/>
              </w:rPr>
            </w:pPr>
            <w:proofErr w:type="gramStart"/>
            <w:r w:rsidRPr="004900F8">
              <w:rPr>
                <w:rFonts w:ascii="Times New Roman" w:hAnsi="Times New Roman" w:cs="Times New Roman"/>
                <w:sz w:val="20"/>
                <w:szCs w:val="20"/>
              </w:rPr>
              <w:t>OU</w:t>
            </w:r>
            <w:proofErr w:type="gramEnd"/>
          </w:p>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lastRenderedPageBreak/>
              <w:t>-Cours transversal</w:t>
            </w:r>
            <w:r w:rsidR="001271DB">
              <w:rPr>
                <w:rFonts w:ascii="Times New Roman" w:hAnsi="Times New Roman" w:cs="Times New Roman"/>
                <w:sz w:val="20"/>
                <w:szCs w:val="20"/>
              </w:rPr>
              <w:t xml:space="preserve"> </w:t>
            </w:r>
            <w:r w:rsidRPr="004900F8">
              <w:rPr>
                <w:rFonts w:ascii="Times New Roman" w:hAnsi="Times New Roman" w:cs="Times New Roman"/>
                <w:sz w:val="20"/>
                <w:szCs w:val="20"/>
              </w:rPr>
              <w:t>1 (liste 1 ci-dessous)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lastRenderedPageBreak/>
              <w:t>6</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EC langue</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6</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4900F8" w:rsidRPr="004900F8" w:rsidTr="001271DB">
        <w:tc>
          <w:tcPr>
            <w:tcW w:w="1847" w:type="dxa"/>
            <w:shd w:val="clear" w:color="auto" w:fill="E7E6E6" w:themeFill="background2"/>
          </w:tcPr>
          <w:p w:rsidR="004900F8" w:rsidRPr="004900F8" w:rsidRDefault="004900F8" w:rsidP="006501CC">
            <w:pPr>
              <w:jc w:val="both"/>
              <w:rPr>
                <w:rFonts w:ascii="Times New Roman" w:hAnsi="Times New Roman" w:cs="Times New Roman"/>
                <w:sz w:val="20"/>
                <w:szCs w:val="20"/>
              </w:rPr>
            </w:pPr>
            <w:r w:rsidRPr="004900F8">
              <w:rPr>
                <w:rFonts w:ascii="Times New Roman" w:hAnsi="Times New Roman" w:cs="Times New Roman"/>
                <w:sz w:val="20"/>
                <w:szCs w:val="20"/>
              </w:rPr>
              <w:t>M1 2</w:t>
            </w:r>
            <w:r w:rsidRPr="004900F8">
              <w:rPr>
                <w:rFonts w:ascii="Times New Roman" w:hAnsi="Times New Roman" w:cs="Times New Roman"/>
                <w:sz w:val="20"/>
                <w:szCs w:val="20"/>
                <w:vertAlign w:val="superscript"/>
              </w:rPr>
              <w:t>e</w:t>
            </w:r>
            <w:r w:rsidRPr="004900F8">
              <w:rPr>
                <w:rFonts w:ascii="Times New Roman" w:hAnsi="Times New Roman" w:cs="Times New Roman"/>
                <w:sz w:val="20"/>
                <w:szCs w:val="20"/>
              </w:rPr>
              <w:t xml:space="preserve"> semestre</w:t>
            </w:r>
          </w:p>
        </w:tc>
        <w:tc>
          <w:tcPr>
            <w:tcW w:w="523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Spécialisation disciplinaire</w:t>
            </w: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Penser l'imbrication des rapports de domination et des injustices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Droits et dispositifs de lutte contre les discriminations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Cours transversal 2 (voir liste 2 ci-dessous)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Professionnalisation</w:t>
            </w: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Séminaire de professionnalisation</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Techniques d'enquête qualitatives et quantitatives en SHS (introduction)</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Accompagnement du mémoire : lire et produire des sciences sociales (tutorat I)</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4900F8" w:rsidRPr="004900F8" w:rsidTr="001271DB">
        <w:tc>
          <w:tcPr>
            <w:tcW w:w="1847" w:type="dxa"/>
            <w:shd w:val="clear" w:color="auto" w:fill="FFFF00"/>
          </w:tcPr>
          <w:p w:rsidR="004900F8" w:rsidRPr="004900F8" w:rsidRDefault="004900F8" w:rsidP="006501CC">
            <w:pPr>
              <w:jc w:val="both"/>
              <w:rPr>
                <w:rFonts w:ascii="Times New Roman" w:hAnsi="Times New Roman" w:cs="Times New Roman"/>
                <w:sz w:val="20"/>
                <w:szCs w:val="20"/>
              </w:rPr>
            </w:pPr>
            <w:r w:rsidRPr="004900F8">
              <w:rPr>
                <w:rFonts w:ascii="Times New Roman" w:hAnsi="Times New Roman" w:cs="Times New Roman"/>
                <w:sz w:val="20"/>
                <w:szCs w:val="20"/>
              </w:rPr>
              <w:t>Master 2</w:t>
            </w:r>
          </w:p>
        </w:tc>
        <w:tc>
          <w:tcPr>
            <w:tcW w:w="5237" w:type="dxa"/>
            <w:shd w:val="clear" w:color="auto" w:fill="FFFF00"/>
            <w:vAlign w:val="center"/>
          </w:tcPr>
          <w:p w:rsidR="004900F8" w:rsidRPr="004900F8" w:rsidRDefault="004900F8" w:rsidP="006501CC">
            <w:pPr>
              <w:jc w:val="both"/>
              <w:rPr>
                <w:rFonts w:ascii="Times New Roman" w:hAnsi="Times New Roman" w:cs="Times New Roman"/>
                <w:color w:val="333333"/>
                <w:sz w:val="20"/>
                <w:szCs w:val="20"/>
              </w:rPr>
            </w:pPr>
          </w:p>
        </w:tc>
        <w:tc>
          <w:tcPr>
            <w:tcW w:w="567" w:type="dxa"/>
            <w:shd w:val="clear" w:color="auto" w:fill="FFFF00"/>
          </w:tcPr>
          <w:p w:rsidR="004900F8" w:rsidRPr="004900F8" w:rsidRDefault="004900F8" w:rsidP="006501CC">
            <w:pPr>
              <w:jc w:val="both"/>
              <w:rPr>
                <w:rFonts w:ascii="Times New Roman" w:hAnsi="Times New Roman" w:cs="Times New Roman"/>
                <w:sz w:val="20"/>
                <w:szCs w:val="20"/>
              </w:rPr>
            </w:pPr>
          </w:p>
        </w:tc>
        <w:tc>
          <w:tcPr>
            <w:tcW w:w="567" w:type="dxa"/>
            <w:shd w:val="clear" w:color="auto" w:fill="FFFF00"/>
          </w:tcPr>
          <w:p w:rsidR="004900F8" w:rsidRPr="004900F8" w:rsidRDefault="004900F8" w:rsidP="006501CC">
            <w:pPr>
              <w:jc w:val="both"/>
              <w:rPr>
                <w:rFonts w:ascii="Times New Roman" w:hAnsi="Times New Roman" w:cs="Times New Roman"/>
                <w:sz w:val="20"/>
                <w:szCs w:val="20"/>
              </w:rPr>
            </w:pPr>
          </w:p>
        </w:tc>
      </w:tr>
      <w:tr w:rsidR="004900F8" w:rsidRPr="004900F8" w:rsidTr="001271DB">
        <w:tc>
          <w:tcPr>
            <w:tcW w:w="1847" w:type="dxa"/>
            <w:shd w:val="clear" w:color="auto" w:fill="E7E6E6" w:themeFill="background2"/>
          </w:tcPr>
          <w:p w:rsidR="004900F8" w:rsidRPr="004900F8" w:rsidRDefault="004900F8" w:rsidP="006501CC">
            <w:pPr>
              <w:jc w:val="both"/>
              <w:rPr>
                <w:rFonts w:ascii="Times New Roman" w:hAnsi="Times New Roman" w:cs="Times New Roman"/>
                <w:sz w:val="20"/>
                <w:szCs w:val="20"/>
              </w:rPr>
            </w:pPr>
            <w:r w:rsidRPr="004900F8">
              <w:rPr>
                <w:rFonts w:ascii="Times New Roman" w:hAnsi="Times New Roman" w:cs="Times New Roman"/>
                <w:sz w:val="20"/>
                <w:szCs w:val="20"/>
              </w:rPr>
              <w:t xml:space="preserve">M2 </w:t>
            </w:r>
            <w:r w:rsidR="001271DB">
              <w:rPr>
                <w:rFonts w:ascii="Times New Roman" w:hAnsi="Times New Roman" w:cs="Times New Roman"/>
                <w:sz w:val="20"/>
                <w:szCs w:val="20"/>
              </w:rPr>
              <w:t>1</w:t>
            </w:r>
            <w:r w:rsidR="001271DB" w:rsidRPr="001271DB">
              <w:rPr>
                <w:rFonts w:ascii="Times New Roman" w:hAnsi="Times New Roman" w:cs="Times New Roman"/>
                <w:sz w:val="20"/>
                <w:szCs w:val="20"/>
                <w:vertAlign w:val="superscript"/>
              </w:rPr>
              <w:t>er</w:t>
            </w:r>
            <w:r w:rsidR="001271DB">
              <w:rPr>
                <w:rFonts w:ascii="Times New Roman" w:hAnsi="Times New Roman" w:cs="Times New Roman"/>
                <w:sz w:val="20"/>
                <w:szCs w:val="20"/>
              </w:rPr>
              <w:t xml:space="preserve"> semestre</w:t>
            </w:r>
          </w:p>
        </w:tc>
        <w:tc>
          <w:tcPr>
            <w:tcW w:w="523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Spécialisation disciplinaire</w:t>
            </w: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proofErr w:type="spellStart"/>
            <w:r w:rsidRPr="004900F8">
              <w:rPr>
                <w:rFonts w:ascii="Times New Roman" w:hAnsi="Times New Roman" w:cs="Times New Roman"/>
                <w:color w:val="333333"/>
                <w:sz w:val="20"/>
                <w:szCs w:val="20"/>
              </w:rPr>
              <w:t>Mobilizations</w:t>
            </w:r>
            <w:proofErr w:type="spellEnd"/>
            <w:r w:rsidRPr="004900F8">
              <w:rPr>
                <w:rFonts w:ascii="Times New Roman" w:hAnsi="Times New Roman" w:cs="Times New Roman"/>
                <w:color w:val="333333"/>
                <w:sz w:val="20"/>
                <w:szCs w:val="20"/>
              </w:rPr>
              <w:t xml:space="preserve"> and discriminations</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Spatialisation des inégalités</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EC Transversal du S1 (</w:t>
            </w:r>
            <w:r>
              <w:rPr>
                <w:rFonts w:ascii="Times New Roman" w:hAnsi="Times New Roman" w:cs="Times New Roman"/>
                <w:sz w:val="20"/>
                <w:szCs w:val="20"/>
              </w:rPr>
              <w:t xml:space="preserve">à choisir dans la </w:t>
            </w:r>
            <w:r w:rsidRPr="004900F8">
              <w:rPr>
                <w:rFonts w:ascii="Times New Roman" w:hAnsi="Times New Roman" w:cs="Times New Roman"/>
                <w:sz w:val="20"/>
                <w:szCs w:val="20"/>
              </w:rPr>
              <w:t>liste 1 ci-dessous)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EC libre</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Professionnalisation</w:t>
            </w: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Gestion par projets</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5</w:t>
            </w:r>
          </w:p>
        </w:tc>
        <w:tc>
          <w:tcPr>
            <w:tcW w:w="567" w:type="dxa"/>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Techniques d'enquête qualitatives et quantitatives des SHS  2 (</w:t>
            </w:r>
            <w:r w:rsidR="001271DB">
              <w:rPr>
                <w:rFonts w:ascii="Times New Roman" w:hAnsi="Times New Roman" w:cs="Times New Roman"/>
                <w:color w:val="333333"/>
                <w:sz w:val="20"/>
                <w:szCs w:val="20"/>
              </w:rPr>
              <w:t>A</w:t>
            </w:r>
            <w:r w:rsidRPr="004900F8">
              <w:rPr>
                <w:rFonts w:ascii="Times New Roman" w:hAnsi="Times New Roman" w:cs="Times New Roman"/>
                <w:color w:val="333333"/>
                <w:sz w:val="20"/>
                <w:szCs w:val="20"/>
              </w:rPr>
              <w:t>pprofondissement)</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5</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1</w:t>
            </w:r>
          </w:p>
        </w:tc>
      </w:tr>
      <w:tr w:rsidR="004900F8" w:rsidRPr="004900F8" w:rsidTr="001271DB">
        <w:tc>
          <w:tcPr>
            <w:tcW w:w="1847" w:type="dxa"/>
            <w:shd w:val="clear" w:color="auto" w:fill="E7E6E6" w:themeFill="background2"/>
          </w:tcPr>
          <w:p w:rsidR="004900F8" w:rsidRPr="004900F8" w:rsidRDefault="004900F8" w:rsidP="006501CC">
            <w:pPr>
              <w:jc w:val="both"/>
              <w:rPr>
                <w:rFonts w:ascii="Times New Roman" w:hAnsi="Times New Roman" w:cs="Times New Roman"/>
                <w:sz w:val="20"/>
                <w:szCs w:val="20"/>
              </w:rPr>
            </w:pPr>
            <w:r w:rsidRPr="004900F8">
              <w:rPr>
                <w:rFonts w:ascii="Times New Roman" w:hAnsi="Times New Roman" w:cs="Times New Roman"/>
                <w:sz w:val="20"/>
                <w:szCs w:val="20"/>
              </w:rPr>
              <w:t xml:space="preserve">M2 </w:t>
            </w:r>
            <w:r w:rsidR="001271DB">
              <w:rPr>
                <w:rFonts w:ascii="Times New Roman" w:hAnsi="Times New Roman" w:cs="Times New Roman"/>
                <w:sz w:val="20"/>
                <w:szCs w:val="20"/>
              </w:rPr>
              <w:t>2</w:t>
            </w:r>
            <w:r w:rsidR="001271DB" w:rsidRPr="001271DB">
              <w:rPr>
                <w:rFonts w:ascii="Times New Roman" w:hAnsi="Times New Roman" w:cs="Times New Roman"/>
                <w:sz w:val="20"/>
                <w:szCs w:val="20"/>
                <w:vertAlign w:val="superscript"/>
              </w:rPr>
              <w:t>e</w:t>
            </w:r>
            <w:r w:rsidR="001271DB">
              <w:rPr>
                <w:rFonts w:ascii="Times New Roman" w:hAnsi="Times New Roman" w:cs="Times New Roman"/>
                <w:sz w:val="20"/>
                <w:szCs w:val="20"/>
              </w:rPr>
              <w:t xml:space="preserve"> semestre</w:t>
            </w:r>
          </w:p>
        </w:tc>
        <w:tc>
          <w:tcPr>
            <w:tcW w:w="5237" w:type="dxa"/>
            <w:shd w:val="clear" w:color="auto" w:fill="E7E6E6" w:themeFill="background2"/>
            <w:vAlign w:val="center"/>
          </w:tcPr>
          <w:p w:rsidR="004900F8" w:rsidRPr="004900F8" w:rsidRDefault="004900F8" w:rsidP="006501CC">
            <w:pPr>
              <w:jc w:val="both"/>
              <w:rPr>
                <w:rFonts w:ascii="Times New Roman" w:hAnsi="Times New Roman" w:cs="Times New Roman"/>
                <w:color w:val="333333"/>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c>
          <w:tcPr>
            <w:tcW w:w="567" w:type="dxa"/>
            <w:shd w:val="clear" w:color="auto" w:fill="E7E6E6" w:themeFill="background2"/>
          </w:tcPr>
          <w:p w:rsidR="004900F8" w:rsidRPr="004900F8" w:rsidRDefault="004900F8" w:rsidP="006501CC">
            <w:pPr>
              <w:jc w:val="both"/>
              <w:rPr>
                <w:rFonts w:ascii="Times New Roman" w:hAnsi="Times New Roman" w:cs="Times New Roman"/>
                <w:sz w:val="20"/>
                <w:szCs w:val="20"/>
              </w:rPr>
            </w:pPr>
          </w:p>
        </w:tc>
      </w:tr>
      <w:tr w:rsidR="009F031A" w:rsidRPr="004900F8" w:rsidTr="001271DB">
        <w:tc>
          <w:tcPr>
            <w:tcW w:w="1847" w:type="dxa"/>
            <w:vMerge w:val="restart"/>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r w:rsidRPr="004900F8">
              <w:rPr>
                <w:rFonts w:ascii="Times New Roman" w:hAnsi="Times New Roman" w:cs="Times New Roman"/>
                <w:sz w:val="20"/>
                <w:szCs w:val="20"/>
              </w:rPr>
              <w:t>Initiation à la recherche</w:t>
            </w:r>
          </w:p>
        </w:tc>
        <w:tc>
          <w:tcPr>
            <w:tcW w:w="5237" w:type="dxa"/>
            <w:vAlign w:val="center"/>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Séminaire de recherche</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5</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1</w:t>
            </w:r>
          </w:p>
        </w:tc>
      </w:tr>
      <w:tr w:rsidR="009F031A" w:rsidRPr="004900F8" w:rsidTr="001271DB">
        <w:tc>
          <w:tcPr>
            <w:tcW w:w="1847" w:type="dxa"/>
            <w:vMerge/>
            <w:shd w:val="clear" w:color="auto" w:fill="E2EFD9" w:themeFill="accent6" w:themeFillTint="33"/>
          </w:tcPr>
          <w:p w:rsidR="009F031A" w:rsidRPr="004900F8" w:rsidRDefault="009F031A" w:rsidP="006501CC">
            <w:pPr>
              <w:jc w:val="both"/>
              <w:rPr>
                <w:rFonts w:ascii="Times New Roman" w:hAnsi="Times New Roman" w:cs="Times New Roman"/>
                <w:sz w:val="20"/>
                <w:szCs w:val="20"/>
              </w:rPr>
            </w:pPr>
          </w:p>
        </w:tc>
        <w:tc>
          <w:tcPr>
            <w:tcW w:w="5237" w:type="dxa"/>
            <w:vAlign w:val="center"/>
          </w:tcPr>
          <w:p w:rsidR="009F031A" w:rsidRPr="004900F8" w:rsidRDefault="001271DB" w:rsidP="006501CC">
            <w:pPr>
              <w:jc w:val="both"/>
              <w:rPr>
                <w:rFonts w:ascii="Times New Roman" w:hAnsi="Times New Roman" w:cs="Times New Roman"/>
                <w:color w:val="333333"/>
                <w:sz w:val="20"/>
                <w:szCs w:val="20"/>
              </w:rPr>
            </w:pPr>
            <w:r>
              <w:rPr>
                <w:rFonts w:ascii="Times New Roman" w:hAnsi="Times New Roman" w:cs="Times New Roman"/>
                <w:color w:val="333333"/>
                <w:sz w:val="20"/>
                <w:szCs w:val="20"/>
              </w:rPr>
              <w:t xml:space="preserve">Accompagnement du mémoire : </w:t>
            </w:r>
            <w:r w:rsidR="009F031A" w:rsidRPr="004900F8">
              <w:rPr>
                <w:rFonts w:ascii="Times New Roman" w:hAnsi="Times New Roman" w:cs="Times New Roman"/>
                <w:color w:val="333333"/>
                <w:sz w:val="20"/>
                <w:szCs w:val="20"/>
              </w:rPr>
              <w:t xml:space="preserve">Lire et produire des sciences sociales (tutorat II) </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5</w:t>
            </w:r>
          </w:p>
        </w:tc>
        <w:tc>
          <w:tcPr>
            <w:tcW w:w="567" w:type="dxa"/>
          </w:tcPr>
          <w:p w:rsidR="009F031A" w:rsidRPr="004900F8" w:rsidRDefault="009F031A"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1</w:t>
            </w:r>
          </w:p>
        </w:tc>
      </w:tr>
      <w:tr w:rsidR="004900F8" w:rsidRPr="004900F8" w:rsidTr="001271DB">
        <w:tc>
          <w:tcPr>
            <w:tcW w:w="1847" w:type="dxa"/>
            <w:shd w:val="clear" w:color="auto" w:fill="E2EFD9" w:themeFill="accent6" w:themeFillTint="33"/>
          </w:tcPr>
          <w:p w:rsidR="004900F8" w:rsidRPr="004900F8" w:rsidRDefault="004900F8" w:rsidP="006501CC">
            <w:pPr>
              <w:jc w:val="both"/>
              <w:rPr>
                <w:rFonts w:ascii="Times New Roman" w:hAnsi="Times New Roman" w:cs="Times New Roman"/>
                <w:sz w:val="20"/>
                <w:szCs w:val="20"/>
              </w:rPr>
            </w:pPr>
            <w:r w:rsidRPr="004900F8">
              <w:rPr>
                <w:rFonts w:ascii="Times New Roman" w:hAnsi="Times New Roman" w:cs="Times New Roman"/>
                <w:sz w:val="20"/>
                <w:szCs w:val="20"/>
              </w:rPr>
              <w:t>Stage/mémoire</w:t>
            </w:r>
          </w:p>
        </w:tc>
        <w:tc>
          <w:tcPr>
            <w:tcW w:w="5237" w:type="dxa"/>
            <w:vAlign w:val="center"/>
          </w:tcPr>
          <w:p w:rsidR="004900F8" w:rsidRPr="004900F8" w:rsidRDefault="004900F8"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 xml:space="preserve">Mémoire de stage ou </w:t>
            </w:r>
            <w:r w:rsidR="001271DB">
              <w:rPr>
                <w:rFonts w:ascii="Times New Roman" w:hAnsi="Times New Roman" w:cs="Times New Roman"/>
                <w:color w:val="333333"/>
                <w:sz w:val="20"/>
                <w:szCs w:val="20"/>
              </w:rPr>
              <w:t>M</w:t>
            </w:r>
            <w:r w:rsidRPr="004900F8">
              <w:rPr>
                <w:rFonts w:ascii="Times New Roman" w:hAnsi="Times New Roman" w:cs="Times New Roman"/>
                <w:color w:val="333333"/>
                <w:sz w:val="20"/>
                <w:szCs w:val="20"/>
              </w:rPr>
              <w:t>émoire de recherche</w:t>
            </w:r>
          </w:p>
        </w:tc>
        <w:tc>
          <w:tcPr>
            <w:tcW w:w="567" w:type="dxa"/>
          </w:tcPr>
          <w:p w:rsidR="004900F8" w:rsidRPr="004900F8" w:rsidRDefault="004900F8"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20</w:t>
            </w:r>
          </w:p>
        </w:tc>
        <w:tc>
          <w:tcPr>
            <w:tcW w:w="567" w:type="dxa"/>
          </w:tcPr>
          <w:p w:rsidR="004900F8" w:rsidRPr="004900F8" w:rsidRDefault="004900F8" w:rsidP="006501CC">
            <w:pPr>
              <w:jc w:val="both"/>
              <w:rPr>
                <w:rFonts w:ascii="Times New Roman" w:hAnsi="Times New Roman" w:cs="Times New Roman"/>
                <w:color w:val="333333"/>
                <w:sz w:val="20"/>
                <w:szCs w:val="20"/>
              </w:rPr>
            </w:pPr>
            <w:r w:rsidRPr="004900F8">
              <w:rPr>
                <w:rFonts w:ascii="Times New Roman" w:hAnsi="Times New Roman" w:cs="Times New Roman"/>
                <w:color w:val="333333"/>
                <w:sz w:val="20"/>
                <w:szCs w:val="20"/>
              </w:rPr>
              <w:t>4</w:t>
            </w:r>
          </w:p>
        </w:tc>
      </w:tr>
    </w:tbl>
    <w:p w:rsidR="00BE2F69" w:rsidRPr="001C60F4" w:rsidRDefault="00BE2F69" w:rsidP="006501CC">
      <w:pPr>
        <w:jc w:val="both"/>
        <w:rPr>
          <w:rFonts w:ascii="Times New Roman" w:hAnsi="Times New Roman" w:cs="Times New Roman"/>
          <w:sz w:val="20"/>
          <w:szCs w:val="20"/>
        </w:rPr>
      </w:pPr>
      <w:r w:rsidRPr="001C60F4">
        <w:rPr>
          <w:rFonts w:ascii="Times New Roman" w:hAnsi="Times New Roman" w:cs="Times New Roman"/>
          <w:sz w:val="20"/>
          <w:szCs w:val="20"/>
        </w:rPr>
        <w:t xml:space="preserve">* Cours obligatoire pour </w:t>
      </w:r>
      <w:proofErr w:type="gramStart"/>
      <w:r w:rsidRPr="001C60F4">
        <w:rPr>
          <w:rFonts w:ascii="Times New Roman" w:hAnsi="Times New Roman" w:cs="Times New Roman"/>
          <w:sz w:val="20"/>
          <w:szCs w:val="20"/>
        </w:rPr>
        <w:t xml:space="preserve">les </w:t>
      </w:r>
      <w:proofErr w:type="spellStart"/>
      <w:r w:rsidRPr="001C60F4">
        <w:rPr>
          <w:rFonts w:ascii="Times New Roman" w:hAnsi="Times New Roman" w:cs="Times New Roman"/>
          <w:sz w:val="20"/>
          <w:szCs w:val="20"/>
        </w:rPr>
        <w:t>étudiant</w:t>
      </w:r>
      <w:proofErr w:type="gramEnd"/>
      <w:r w:rsidRPr="001C60F4">
        <w:rPr>
          <w:rFonts w:ascii="Times New Roman" w:hAnsi="Times New Roman" w:cs="Times New Roman"/>
          <w:sz w:val="20"/>
          <w:szCs w:val="20"/>
        </w:rPr>
        <w:t>∙es</w:t>
      </w:r>
      <w:proofErr w:type="spellEnd"/>
      <w:r w:rsidRPr="001C60F4">
        <w:rPr>
          <w:rFonts w:ascii="Times New Roman" w:hAnsi="Times New Roman" w:cs="Times New Roman"/>
          <w:sz w:val="20"/>
          <w:szCs w:val="20"/>
        </w:rPr>
        <w:t xml:space="preserve"> ne provenant pas d’un cursus de science politique</w:t>
      </w:r>
    </w:p>
    <w:p w:rsidR="00BE2F69" w:rsidRPr="001C60F4" w:rsidRDefault="00BE2F69" w:rsidP="006501CC">
      <w:pPr>
        <w:jc w:val="both"/>
        <w:rPr>
          <w:rFonts w:ascii="Times New Roman" w:hAnsi="Times New Roman" w:cs="Times New Roman"/>
          <w:sz w:val="20"/>
          <w:szCs w:val="20"/>
        </w:rPr>
      </w:pPr>
    </w:p>
    <w:p w:rsidR="006501CC" w:rsidRPr="006501CC" w:rsidRDefault="006501CC" w:rsidP="006501C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imes New Roman" w:hAnsi="Times New Roman" w:cs="Times New Roman"/>
          <w:sz w:val="20"/>
          <w:szCs w:val="20"/>
        </w:rPr>
      </w:pPr>
      <w:r>
        <w:rPr>
          <w:rStyle w:val="Aucun"/>
          <w:rFonts w:ascii="Times New Roman" w:hAnsi="Times New Roman" w:cs="Times New Roman"/>
          <w:b/>
          <w:bCs/>
          <w:sz w:val="20"/>
          <w:szCs w:val="20"/>
        </w:rPr>
        <w:t>**</w:t>
      </w:r>
      <w:r w:rsidRPr="006501CC">
        <w:rPr>
          <w:rStyle w:val="Aucun"/>
          <w:rFonts w:ascii="Times New Roman" w:hAnsi="Times New Roman" w:cs="Times New Roman"/>
          <w:b/>
          <w:bCs/>
          <w:sz w:val="20"/>
          <w:szCs w:val="20"/>
        </w:rPr>
        <w:t xml:space="preserve">Les départements partenaires de notre Master : </w:t>
      </w:r>
      <w:r w:rsidRPr="006501CC">
        <w:rPr>
          <w:rStyle w:val="Aucun"/>
          <w:rFonts w:ascii="Times New Roman" w:hAnsi="Times New Roman" w:cs="Times New Roman"/>
          <w:sz w:val="20"/>
          <w:szCs w:val="20"/>
        </w:rPr>
        <w:t>des cours sont ouverts dans les formations suivantes : Institut d’Etudes Européennes (sous réserve) ; Master « Mondes méditerranéens en mouvement » du Département Sciences sociales des mondes méditerranéens ; Master « Etudes Transnationales et Transculturelles » de l’UFR Langues et cultures étrangères ; Master « Sciences sociales : Sociologie et anthropologie » ; Master Genre (sous réserve).</w:t>
      </w:r>
    </w:p>
    <w:p w:rsidR="00BE2F69" w:rsidRPr="006501CC" w:rsidRDefault="00BE2F69" w:rsidP="006501CC">
      <w:pPr>
        <w:jc w:val="both"/>
        <w:rPr>
          <w:rFonts w:ascii="Times New Roman" w:hAnsi="Times New Roman" w:cs="Times New Roman"/>
          <w:sz w:val="20"/>
          <w:szCs w:val="20"/>
        </w:rPr>
      </w:pPr>
    </w:p>
    <w:p w:rsidR="00BE2F69" w:rsidRPr="001C60F4" w:rsidRDefault="00BE2F69" w:rsidP="006501CC">
      <w:pPr>
        <w:jc w:val="both"/>
        <w:rPr>
          <w:rFonts w:ascii="Times New Roman" w:hAnsi="Times New Roman" w:cs="Times New Roman"/>
          <w:b/>
          <w:sz w:val="20"/>
          <w:szCs w:val="20"/>
        </w:rPr>
      </w:pPr>
      <w:r w:rsidRPr="001C60F4">
        <w:rPr>
          <w:rFonts w:ascii="Times New Roman" w:hAnsi="Times New Roman" w:cs="Times New Roman"/>
          <w:b/>
          <w:sz w:val="20"/>
          <w:szCs w:val="20"/>
        </w:rPr>
        <w:t>LISTE 1--Cours transversaux offerts au 1</w:t>
      </w:r>
      <w:r w:rsidRPr="001C60F4">
        <w:rPr>
          <w:rFonts w:ascii="Times New Roman" w:hAnsi="Times New Roman" w:cs="Times New Roman"/>
          <w:b/>
          <w:sz w:val="20"/>
          <w:szCs w:val="20"/>
          <w:vertAlign w:val="superscript"/>
        </w:rPr>
        <w:t>er</w:t>
      </w:r>
      <w:r w:rsidRPr="001C60F4">
        <w:rPr>
          <w:rFonts w:ascii="Times New Roman" w:hAnsi="Times New Roman" w:cs="Times New Roman"/>
          <w:b/>
          <w:sz w:val="20"/>
          <w:szCs w:val="20"/>
        </w:rPr>
        <w:t xml:space="preserve"> semestre (M1-M2)</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 xml:space="preserve">Politique et numérique </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Politique des migrations</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Approches et théories de la justice</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Culture et engagement</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Démocratisations et montée des autoritarismes</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 xml:space="preserve">Politique des archives </w:t>
      </w:r>
    </w:p>
    <w:p w:rsidR="00BE2F69" w:rsidRPr="001C60F4" w:rsidRDefault="00BE2F69" w:rsidP="006501CC">
      <w:pPr>
        <w:pStyle w:val="Paragraphedeliste"/>
        <w:numPr>
          <w:ilvl w:val="0"/>
          <w:numId w:val="1"/>
        </w:numPr>
        <w:jc w:val="both"/>
        <w:rPr>
          <w:rFonts w:ascii="Times New Roman" w:hAnsi="Times New Roman" w:cs="Times New Roman"/>
          <w:sz w:val="20"/>
          <w:szCs w:val="20"/>
        </w:rPr>
      </w:pPr>
      <w:r w:rsidRPr="001C60F4">
        <w:rPr>
          <w:rFonts w:ascii="Times New Roman" w:hAnsi="Times New Roman" w:cs="Times New Roman"/>
          <w:sz w:val="20"/>
          <w:szCs w:val="20"/>
        </w:rPr>
        <w:t>Sociologie politique de la santé</w:t>
      </w:r>
    </w:p>
    <w:p w:rsidR="00BE2F69" w:rsidRPr="001C60F4" w:rsidRDefault="00BE2F69" w:rsidP="006501CC">
      <w:pPr>
        <w:pStyle w:val="Paragraphedeliste"/>
        <w:jc w:val="both"/>
        <w:rPr>
          <w:rFonts w:ascii="Times New Roman" w:hAnsi="Times New Roman" w:cs="Times New Roman"/>
          <w:sz w:val="20"/>
          <w:szCs w:val="20"/>
        </w:rPr>
      </w:pPr>
    </w:p>
    <w:p w:rsidR="00BE2F69" w:rsidRPr="001C60F4" w:rsidRDefault="00BE2F69" w:rsidP="006501CC">
      <w:pPr>
        <w:jc w:val="both"/>
        <w:rPr>
          <w:rFonts w:ascii="Times New Roman" w:hAnsi="Times New Roman" w:cs="Times New Roman"/>
          <w:b/>
          <w:sz w:val="20"/>
          <w:szCs w:val="20"/>
        </w:rPr>
      </w:pPr>
      <w:r w:rsidRPr="001C60F4">
        <w:rPr>
          <w:rFonts w:ascii="Times New Roman" w:hAnsi="Times New Roman" w:cs="Times New Roman"/>
          <w:b/>
          <w:sz w:val="20"/>
          <w:szCs w:val="20"/>
        </w:rPr>
        <w:t>LISTE 2--Cours transversaux offerts au second semestre (M1)</w:t>
      </w:r>
    </w:p>
    <w:p w:rsidR="00BE2F69" w:rsidRPr="001C60F4" w:rsidRDefault="00BE2F69" w:rsidP="006501CC">
      <w:pPr>
        <w:pStyle w:val="Paragraphedeliste"/>
        <w:numPr>
          <w:ilvl w:val="0"/>
          <w:numId w:val="2"/>
        </w:numPr>
        <w:jc w:val="both"/>
        <w:rPr>
          <w:rFonts w:ascii="Times New Roman" w:hAnsi="Times New Roman" w:cs="Times New Roman"/>
          <w:sz w:val="20"/>
          <w:szCs w:val="20"/>
        </w:rPr>
      </w:pPr>
      <w:r w:rsidRPr="001C60F4">
        <w:rPr>
          <w:rFonts w:ascii="Times New Roman" w:hAnsi="Times New Roman" w:cs="Times New Roman"/>
          <w:sz w:val="20"/>
          <w:szCs w:val="20"/>
        </w:rPr>
        <w:t>Impérialisme, colonialisme, postcolonialisme</w:t>
      </w:r>
    </w:p>
    <w:p w:rsidR="00BE2F69" w:rsidRPr="001C60F4" w:rsidRDefault="00BE2F69" w:rsidP="006501CC">
      <w:pPr>
        <w:pStyle w:val="Paragraphedeliste"/>
        <w:numPr>
          <w:ilvl w:val="0"/>
          <w:numId w:val="2"/>
        </w:numPr>
        <w:jc w:val="both"/>
        <w:rPr>
          <w:rFonts w:ascii="Times New Roman" w:hAnsi="Times New Roman" w:cs="Times New Roman"/>
          <w:sz w:val="20"/>
          <w:szCs w:val="20"/>
        </w:rPr>
      </w:pPr>
      <w:r w:rsidRPr="001C60F4">
        <w:rPr>
          <w:rFonts w:ascii="Times New Roman" w:hAnsi="Times New Roman" w:cs="Times New Roman"/>
          <w:sz w:val="20"/>
          <w:szCs w:val="20"/>
        </w:rPr>
        <w:t xml:space="preserve">Politique et crise écologique </w:t>
      </w:r>
    </w:p>
    <w:p w:rsidR="00BE2F69" w:rsidRPr="001C60F4" w:rsidRDefault="00BE2F69" w:rsidP="006501CC">
      <w:pPr>
        <w:pStyle w:val="Paragraphedeliste"/>
        <w:numPr>
          <w:ilvl w:val="0"/>
          <w:numId w:val="2"/>
        </w:numPr>
        <w:jc w:val="both"/>
        <w:rPr>
          <w:rFonts w:ascii="Times New Roman" w:hAnsi="Times New Roman" w:cs="Times New Roman"/>
          <w:sz w:val="20"/>
          <w:szCs w:val="20"/>
        </w:rPr>
      </w:pPr>
      <w:r w:rsidRPr="001C60F4">
        <w:rPr>
          <w:rFonts w:ascii="Times New Roman" w:hAnsi="Times New Roman" w:cs="Times New Roman"/>
          <w:sz w:val="20"/>
          <w:szCs w:val="20"/>
        </w:rPr>
        <w:t>Genre et politique</w:t>
      </w:r>
    </w:p>
    <w:p w:rsidR="00BE2F69" w:rsidRPr="001C60F4" w:rsidRDefault="00BE2F69" w:rsidP="006501CC">
      <w:pPr>
        <w:pStyle w:val="Paragraphedeliste"/>
        <w:numPr>
          <w:ilvl w:val="0"/>
          <w:numId w:val="2"/>
        </w:numPr>
        <w:jc w:val="both"/>
        <w:rPr>
          <w:rFonts w:ascii="Times New Roman" w:hAnsi="Times New Roman" w:cs="Times New Roman"/>
          <w:sz w:val="20"/>
          <w:szCs w:val="20"/>
        </w:rPr>
      </w:pPr>
      <w:r w:rsidRPr="001C60F4">
        <w:rPr>
          <w:rFonts w:ascii="Times New Roman" w:hAnsi="Times New Roman" w:cs="Times New Roman"/>
          <w:sz w:val="20"/>
          <w:szCs w:val="20"/>
        </w:rPr>
        <w:t>Pouvoir, domination, gouvernement</w:t>
      </w:r>
    </w:p>
    <w:p w:rsidR="00BE2F69" w:rsidRPr="001C60F4" w:rsidRDefault="00BE2F69" w:rsidP="006501CC">
      <w:pPr>
        <w:jc w:val="both"/>
        <w:rPr>
          <w:rFonts w:ascii="Times New Roman" w:hAnsi="Times New Roman" w:cs="Times New Roman"/>
          <w:sz w:val="20"/>
          <w:szCs w:val="20"/>
        </w:rPr>
      </w:pPr>
      <w:r w:rsidRPr="001C60F4">
        <w:rPr>
          <w:rFonts w:ascii="Times New Roman" w:hAnsi="Times New Roman" w:cs="Times New Roman"/>
          <w:sz w:val="20"/>
          <w:szCs w:val="20"/>
        </w:rPr>
        <w:t>[NB : en fonction des années, certains de ces cours transversaux peuvent ne pas être ouverts.]</w:t>
      </w:r>
    </w:p>
    <w:p w:rsidR="00BE2F69" w:rsidRDefault="00BE2F69" w:rsidP="006501CC">
      <w:pPr>
        <w:jc w:val="both"/>
      </w:pPr>
    </w:p>
    <w:p w:rsidR="000537DC" w:rsidRDefault="000537DC" w:rsidP="006501CC">
      <w:pPr>
        <w:jc w:val="both"/>
      </w:pPr>
    </w:p>
    <w:sectPr w:rsidR="00053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Arial"/>
    <w:charset w:val="00"/>
    <w:family w:val="roman"/>
    <w:pitch w:val="default"/>
  </w:font>
  <w:font w:name="Arial Unicode MS">
    <w:altName w:val="Arial"/>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A71B0"/>
    <w:multiLevelType w:val="hybridMultilevel"/>
    <w:tmpl w:val="67545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2A3AC7"/>
    <w:multiLevelType w:val="hybridMultilevel"/>
    <w:tmpl w:val="229AD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69"/>
    <w:rsid w:val="00006B55"/>
    <w:rsid w:val="000537DC"/>
    <w:rsid w:val="000C5944"/>
    <w:rsid w:val="001271DB"/>
    <w:rsid w:val="002B50ED"/>
    <w:rsid w:val="004900F8"/>
    <w:rsid w:val="00495522"/>
    <w:rsid w:val="005B54FC"/>
    <w:rsid w:val="006501CC"/>
    <w:rsid w:val="007A5475"/>
    <w:rsid w:val="0097054B"/>
    <w:rsid w:val="009F031A"/>
    <w:rsid w:val="00AD4CFD"/>
    <w:rsid w:val="00BE2F69"/>
    <w:rsid w:val="00C7226B"/>
    <w:rsid w:val="00DD2DE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260E"/>
  <w15:chartTrackingRefBased/>
  <w15:docId w15:val="{17DD0902-6C06-4729-B5B0-8FD6DB6D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F69"/>
    <w:pPr>
      <w:spacing w:after="0" w:line="240" w:lineRule="auto"/>
    </w:pPr>
  </w:style>
  <w:style w:type="paragraph" w:styleId="Titre3">
    <w:name w:val="heading 3"/>
    <w:basedOn w:val="Normal"/>
    <w:link w:val="Titre3Car"/>
    <w:uiPriority w:val="9"/>
    <w:qFormat/>
    <w:rsid w:val="00BE2F6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E2F69"/>
    <w:rPr>
      <w:rFonts w:ascii="Times New Roman" w:eastAsia="Times New Roman" w:hAnsi="Times New Roman" w:cs="Times New Roman"/>
      <w:b/>
      <w:bCs/>
      <w:sz w:val="27"/>
      <w:szCs w:val="27"/>
    </w:rPr>
  </w:style>
  <w:style w:type="paragraph" w:styleId="NormalWeb">
    <w:name w:val="Normal (Web)"/>
    <w:basedOn w:val="Normal"/>
    <w:uiPriority w:val="99"/>
    <w:unhideWhenUsed/>
    <w:rsid w:val="00BE2F69"/>
    <w:pPr>
      <w:spacing w:before="100" w:beforeAutospacing="1" w:after="100" w:afterAutospacing="1"/>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BE2F69"/>
    <w:rPr>
      <w:color w:val="0000FF"/>
      <w:u w:val="single"/>
    </w:rPr>
  </w:style>
  <w:style w:type="paragraph" w:customStyle="1" w:styleId="Default">
    <w:name w:val="Default"/>
    <w:rsid w:val="00BE2F69"/>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BE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2F69"/>
    <w:pPr>
      <w:ind w:left="720"/>
      <w:contextualSpacing/>
    </w:pPr>
  </w:style>
  <w:style w:type="character" w:styleId="Lienhypertextesuivivisit">
    <w:name w:val="FollowedHyperlink"/>
    <w:basedOn w:val="Policepardfaut"/>
    <w:uiPriority w:val="99"/>
    <w:semiHidden/>
    <w:unhideWhenUsed/>
    <w:rsid w:val="005B54FC"/>
    <w:rPr>
      <w:color w:val="954F72" w:themeColor="followedHyperlink"/>
      <w:u w:val="single"/>
    </w:rPr>
  </w:style>
  <w:style w:type="character" w:styleId="Mentionnonrsolue">
    <w:name w:val="Unresolved Mention"/>
    <w:basedOn w:val="Policepardfaut"/>
    <w:uiPriority w:val="99"/>
    <w:semiHidden/>
    <w:unhideWhenUsed/>
    <w:rsid w:val="005B54FC"/>
    <w:rPr>
      <w:color w:val="605E5C"/>
      <w:shd w:val="clear" w:color="auto" w:fill="E1DFDD"/>
    </w:rPr>
  </w:style>
  <w:style w:type="paragraph" w:customStyle="1" w:styleId="Corps">
    <w:name w:val="Corps"/>
    <w:rsid w:val="006501CC"/>
    <w:pPr>
      <w:spacing w:after="0" w:line="240" w:lineRule="auto"/>
    </w:pPr>
    <w:rPr>
      <w:rFonts w:ascii="Helvetica Neue" w:eastAsia="Arial Unicode MS" w:hAnsi="Helvetica Neue" w:cs="Arial Unicode MS"/>
      <w:color w:val="000000"/>
      <w:lang w:eastAsia="fr-FR"/>
      <w14:textOutline w14:w="0" w14:cap="flat" w14:cmpd="sng" w14:algn="ctr">
        <w14:noFill/>
        <w14:prstDash w14:val="solid"/>
        <w14:bevel/>
      </w14:textOutline>
    </w:rPr>
  </w:style>
  <w:style w:type="character" w:customStyle="1" w:styleId="Aucun">
    <w:name w:val="Aucun"/>
    <w:rsid w:val="00650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4967">
      <w:bodyDiv w:val="1"/>
      <w:marLeft w:val="0"/>
      <w:marRight w:val="0"/>
      <w:marTop w:val="0"/>
      <w:marBottom w:val="0"/>
      <w:divBdr>
        <w:top w:val="none" w:sz="0" w:space="0" w:color="auto"/>
        <w:left w:val="none" w:sz="0" w:space="0" w:color="auto"/>
        <w:bottom w:val="none" w:sz="0" w:space="0" w:color="auto"/>
        <w:right w:val="none" w:sz="0" w:space="0" w:color="auto"/>
      </w:divBdr>
    </w:div>
    <w:div w:id="229198922">
      <w:bodyDiv w:val="1"/>
      <w:marLeft w:val="0"/>
      <w:marRight w:val="0"/>
      <w:marTop w:val="0"/>
      <w:marBottom w:val="0"/>
      <w:divBdr>
        <w:top w:val="none" w:sz="0" w:space="0" w:color="auto"/>
        <w:left w:val="none" w:sz="0" w:space="0" w:color="auto"/>
        <w:bottom w:val="none" w:sz="0" w:space="0" w:color="auto"/>
        <w:right w:val="none" w:sz="0" w:space="0" w:color="auto"/>
      </w:divBdr>
    </w:div>
    <w:div w:id="548298746">
      <w:bodyDiv w:val="1"/>
      <w:marLeft w:val="0"/>
      <w:marRight w:val="0"/>
      <w:marTop w:val="0"/>
      <w:marBottom w:val="0"/>
      <w:divBdr>
        <w:top w:val="none" w:sz="0" w:space="0" w:color="auto"/>
        <w:left w:val="none" w:sz="0" w:space="0" w:color="auto"/>
        <w:bottom w:val="none" w:sz="0" w:space="0" w:color="auto"/>
        <w:right w:val="none" w:sz="0" w:space="0" w:color="auto"/>
      </w:divBdr>
    </w:div>
    <w:div w:id="1047223348">
      <w:bodyDiv w:val="1"/>
      <w:marLeft w:val="0"/>
      <w:marRight w:val="0"/>
      <w:marTop w:val="0"/>
      <w:marBottom w:val="0"/>
      <w:divBdr>
        <w:top w:val="none" w:sz="0" w:space="0" w:color="auto"/>
        <w:left w:val="none" w:sz="0" w:space="0" w:color="auto"/>
        <w:bottom w:val="none" w:sz="0" w:space="0" w:color="auto"/>
        <w:right w:val="none" w:sz="0" w:space="0" w:color="auto"/>
      </w:divBdr>
    </w:div>
    <w:div w:id="1294827196">
      <w:bodyDiv w:val="1"/>
      <w:marLeft w:val="0"/>
      <w:marRight w:val="0"/>
      <w:marTop w:val="0"/>
      <w:marBottom w:val="0"/>
      <w:divBdr>
        <w:top w:val="none" w:sz="0" w:space="0" w:color="auto"/>
        <w:left w:val="none" w:sz="0" w:space="0" w:color="auto"/>
        <w:bottom w:val="none" w:sz="0" w:space="0" w:color="auto"/>
        <w:right w:val="none" w:sz="0" w:space="0" w:color="auto"/>
      </w:divBdr>
    </w:div>
    <w:div w:id="137022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master.gouv.fr/" TargetMode="External"/><Relationship Id="rId3" Type="http://schemas.openxmlformats.org/officeDocument/2006/relationships/settings" Target="settings.xml"/><Relationship Id="rId7" Type="http://schemas.openxmlformats.org/officeDocument/2006/relationships/hyperlink" Target="https://fc.univ-paris8.fr/-vae-validation-des-acquis-de-l-exper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pusfrance.org/fr/candidature-procedure-etudes-en-franc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nmaster.gouv.fr/formation/0931827F/1501062P3I8M/det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1095</Words>
  <Characters>6023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2025-11-26T13:25:00Z</dcterms:created>
  <dcterms:modified xsi:type="dcterms:W3CDTF">2025-12-17T09:08:00Z</dcterms:modified>
</cp:coreProperties>
</file>