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C3E7F" w14:textId="77777777" w:rsidR="007F188D" w:rsidRDefault="007F188D" w:rsidP="007F188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92EA1A5" wp14:editId="2CFBEF97">
            <wp:extent cx="4489450" cy="1479550"/>
            <wp:effectExtent l="0" t="0" r="6350" b="6350"/>
            <wp:docPr id="1" name="Image 1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68844" w14:textId="77777777" w:rsidR="007F188D" w:rsidRPr="003A2D26" w:rsidRDefault="007F188D" w:rsidP="007F188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Style w:val="Aucun"/>
          <w:rFonts w:ascii="Century Gothic" w:eastAsia="Times New Roman" w:hAnsi="Century Gothic" w:cs="Times New Roman"/>
          <w:b/>
          <w:bCs/>
          <w:color w:val="339966"/>
          <w:sz w:val="40"/>
          <w:szCs w:val="32"/>
        </w:rPr>
      </w:pPr>
      <w:r w:rsidRPr="003A2D26">
        <w:rPr>
          <w:rStyle w:val="Aucun"/>
          <w:rFonts w:ascii="Century Gothic" w:hAnsi="Century Gothic"/>
          <w:b/>
          <w:bCs/>
          <w:color w:val="339966"/>
          <w:sz w:val="40"/>
          <w:szCs w:val="32"/>
        </w:rPr>
        <w:t>LICENCE DE SCIENCE POLITIQUE</w:t>
      </w:r>
    </w:p>
    <w:p w14:paraId="4E769BE7" w14:textId="77777777" w:rsidR="007F188D" w:rsidRDefault="007F188D" w:rsidP="007F188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sz w:val="32"/>
          <w:szCs w:val="32"/>
        </w:rPr>
      </w:pPr>
    </w:p>
    <w:p w14:paraId="3747C8DB" w14:textId="77777777" w:rsidR="007F188D" w:rsidRPr="00953E4C" w:rsidRDefault="007F188D" w:rsidP="00953E4C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Aucun"/>
          <w:rFonts w:ascii="Century Gothic" w:eastAsia="Times New Roman" w:hAnsi="Century Gothic" w:cs="Aparajita"/>
          <w:b/>
          <w:bCs/>
          <w:sz w:val="27"/>
          <w:szCs w:val="27"/>
        </w:rPr>
      </w:pPr>
      <w:r w:rsidRPr="00953E4C">
        <w:rPr>
          <w:rStyle w:val="Aucun"/>
          <w:rFonts w:ascii="Century Gothic" w:hAnsi="Century Gothic" w:cs="Aparajita"/>
          <w:b/>
          <w:bCs/>
          <w:sz w:val="27"/>
          <w:szCs w:val="27"/>
        </w:rPr>
        <w:t>La formation</w:t>
      </w:r>
    </w:p>
    <w:p w14:paraId="57F14E87" w14:textId="77777777" w:rsidR="007F188D" w:rsidRDefault="007F188D" w:rsidP="007F188D">
      <w:pPr>
        <w:pStyle w:val="NormalWeb"/>
        <w:jc w:val="both"/>
      </w:pPr>
      <w:r>
        <w:rPr>
          <w:rStyle w:val="lev"/>
        </w:rPr>
        <w:t>La licence de science politique</w:t>
      </w:r>
      <w:r>
        <w:t xml:space="preserve"> de l’université Paris 8 dispense des savoirs, d’abord généralistes puis progressivement plus spécialisés, visant à décrypter la réalité politique contemporaine. La formation s’adosse à une mise en perspective par l’histoire sociale et politique ainsi que par la comparaison entre différentes sociétés ; elle repose sur l’articulation entre instruments conceptuels et cas pratiques actuels variés.</w:t>
      </w:r>
    </w:p>
    <w:p w14:paraId="5F5E6A22" w14:textId="77777777" w:rsidR="007F188D" w:rsidRDefault="007F188D" w:rsidP="007F188D">
      <w:pPr>
        <w:pStyle w:val="NormalWeb"/>
        <w:jc w:val="both"/>
      </w:pPr>
      <w:r>
        <w:t>Deux spécialisations internes sont proposées en Licence 3 : sociologie de l’action publique et sociologie politique de l’international.</w:t>
      </w:r>
    </w:p>
    <w:p w14:paraId="441A7311" w14:textId="77777777" w:rsidR="007F188D" w:rsidRDefault="007F188D" w:rsidP="007F188D">
      <w:pPr>
        <w:pStyle w:val="NormalWeb"/>
        <w:jc w:val="both"/>
      </w:pPr>
      <w:r>
        <w:t>La formation ne recherche pas uniquement l’accumulation de connaissances formelles et la production de discours érudits, mais elle vise à engendrer des capacités de synthèse, de diagnostic, d’argumentation et de rédaction transposables à diverses situations universitaires et professionnelles.</w:t>
      </w:r>
      <w:r w:rsidR="00BD11E1">
        <w:t xml:space="preserve"> </w:t>
      </w:r>
      <w:r>
        <w:t>La formation permet d’envisager l’accès à la vie professionnelle ou la poursuite éventuelle de la formation en Master en sciences humaines et sociales, et en particulier en science politique</w:t>
      </w:r>
      <w:r w:rsidR="00293837">
        <w:t xml:space="preserve"> (voir la section « débouchés professionnels »)</w:t>
      </w:r>
      <w:r>
        <w:t>.</w:t>
      </w:r>
    </w:p>
    <w:p w14:paraId="45BD2F6A" w14:textId="77777777" w:rsidR="007F188D" w:rsidRPr="00BD11E1" w:rsidRDefault="007F188D" w:rsidP="00BD11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Aucun"/>
          <w:rFonts w:ascii="Times New Roman" w:hAnsi="Times New Roman"/>
          <w:b/>
          <w:bCs/>
          <w:color w:val="339966"/>
          <w:sz w:val="24"/>
          <w:szCs w:val="24"/>
        </w:rPr>
      </w:pPr>
      <w:r w:rsidRPr="00BD11E1">
        <w:rPr>
          <w:rStyle w:val="Aucun"/>
          <w:rFonts w:ascii="Times New Roman" w:hAnsi="Times New Roman"/>
          <w:b/>
          <w:color w:val="339966"/>
          <w:sz w:val="24"/>
          <w:szCs w:val="24"/>
        </w:rPr>
        <w:t>Voir ci-dessous le</w:t>
      </w:r>
      <w:r w:rsidRPr="00BD11E1">
        <w:rPr>
          <w:rStyle w:val="Aucun"/>
          <w:rFonts w:ascii="Times New Roman" w:hAnsi="Times New Roman"/>
          <w:color w:val="339966"/>
          <w:sz w:val="24"/>
          <w:szCs w:val="24"/>
        </w:rPr>
        <w:t xml:space="preserve"> </w:t>
      </w:r>
      <w:r w:rsidRPr="00BD11E1">
        <w:rPr>
          <w:rStyle w:val="Aucun"/>
          <w:rFonts w:ascii="Times New Roman" w:hAnsi="Times New Roman"/>
          <w:b/>
          <w:bCs/>
          <w:color w:val="339966"/>
          <w:sz w:val="24"/>
          <w:szCs w:val="24"/>
        </w:rPr>
        <w:t>programme complet des enseignements</w:t>
      </w:r>
    </w:p>
    <w:p w14:paraId="05D0BFFE" w14:textId="77777777" w:rsidR="00953E4C" w:rsidRDefault="00953E4C" w:rsidP="007F188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34621584" w14:textId="31458F12" w:rsidR="007F188D" w:rsidRPr="007F188D" w:rsidRDefault="00925A87" w:rsidP="00953E4C">
      <w:pPr>
        <w:spacing w:after="100" w:afterAutospacing="1"/>
        <w:outlineLvl w:val="2"/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</w:pPr>
      <w:r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Une f</w:t>
      </w:r>
      <w:r w:rsidR="007F188D" w:rsidRPr="007F188D"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ormation complète et équilibrée</w:t>
      </w:r>
    </w:p>
    <w:p w14:paraId="31E0432B" w14:textId="77777777" w:rsidR="00BD11E1" w:rsidRDefault="007F188D" w:rsidP="007F188D">
      <w:pPr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 xml:space="preserve">La licence de science politique de l’université Paris 8 combine l’étude de la vie et des institutions politiques. Elle propose une </w:t>
      </w:r>
      <w:r w:rsidRPr="00BD11E1">
        <w:rPr>
          <w:rFonts w:eastAsia="Times New Roman"/>
          <w:b/>
          <w:lang w:val="fr-FR" w:eastAsia="fr-FR"/>
        </w:rPr>
        <w:t>formation aux différentes branches et objets de la science politique</w:t>
      </w:r>
      <w:r w:rsidRPr="007F188D">
        <w:rPr>
          <w:rFonts w:eastAsia="Times New Roman"/>
          <w:lang w:val="fr-FR" w:eastAsia="fr-FR"/>
        </w:rPr>
        <w:t> : </w:t>
      </w:r>
    </w:p>
    <w:p w14:paraId="037D96C6" w14:textId="77777777" w:rsidR="00BD11E1" w:rsidRDefault="00BD11E1" w:rsidP="00BD11E1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  <w:r w:rsidRPr="00BD11E1">
        <w:rPr>
          <w:rFonts w:eastAsia="Times New Roman"/>
          <w:b/>
          <w:lang w:val="fr-FR" w:eastAsia="fr-FR"/>
        </w:rPr>
        <w:t>S</w:t>
      </w:r>
      <w:r w:rsidR="007F188D" w:rsidRPr="00BD11E1">
        <w:rPr>
          <w:rFonts w:eastAsia="Times New Roman"/>
          <w:b/>
          <w:lang w:val="fr-FR" w:eastAsia="fr-FR"/>
        </w:rPr>
        <w:t>ociologie politique</w:t>
      </w:r>
      <w:r w:rsidR="007F188D" w:rsidRPr="00BD11E1">
        <w:rPr>
          <w:rFonts w:eastAsia="Times New Roman"/>
          <w:lang w:val="fr-FR" w:eastAsia="fr-FR"/>
        </w:rPr>
        <w:t xml:space="preserve"> (partis politiques, mouvements sociaux, élections, action publique, médias, genre),</w:t>
      </w:r>
    </w:p>
    <w:p w14:paraId="040DEEB8" w14:textId="77777777" w:rsidR="00BD11E1" w:rsidRDefault="00BD11E1" w:rsidP="00BD11E1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  <w:r w:rsidRPr="00BD11E1">
        <w:rPr>
          <w:rFonts w:eastAsia="Times New Roman"/>
          <w:b/>
          <w:lang w:val="fr-FR" w:eastAsia="fr-FR"/>
        </w:rPr>
        <w:t>R</w:t>
      </w:r>
      <w:r w:rsidR="007F188D" w:rsidRPr="00BD11E1">
        <w:rPr>
          <w:rFonts w:eastAsia="Times New Roman"/>
          <w:b/>
          <w:lang w:val="fr-FR" w:eastAsia="fr-FR"/>
        </w:rPr>
        <w:t>elations internationales et politique comparée (</w:t>
      </w:r>
      <w:r w:rsidR="007F188D" w:rsidRPr="00BD11E1">
        <w:rPr>
          <w:rFonts w:eastAsia="Times New Roman"/>
          <w:lang w:val="fr-FR" w:eastAsia="fr-FR"/>
        </w:rPr>
        <w:t xml:space="preserve">construction européenne, organisations intergouvernementales et non gouvernementales, crises et les conflits, politique en Asie, Amérique Latine, Afrique, Monde musulman) </w:t>
      </w:r>
    </w:p>
    <w:p w14:paraId="258BB295" w14:textId="77777777" w:rsidR="007F188D" w:rsidRPr="00BD11E1" w:rsidRDefault="00BD11E1" w:rsidP="00BD11E1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  <w:r w:rsidRPr="00BD11E1">
        <w:rPr>
          <w:rFonts w:eastAsia="Times New Roman"/>
          <w:b/>
          <w:lang w:val="fr-FR" w:eastAsia="fr-FR"/>
        </w:rPr>
        <w:t>T</w:t>
      </w:r>
      <w:r w:rsidR="007F188D" w:rsidRPr="00BD11E1">
        <w:rPr>
          <w:rFonts w:eastAsia="Times New Roman"/>
          <w:b/>
          <w:lang w:val="fr-FR" w:eastAsia="fr-FR"/>
        </w:rPr>
        <w:t>héorie politique</w:t>
      </w:r>
      <w:r w:rsidR="007F188D" w:rsidRPr="00BD11E1">
        <w:rPr>
          <w:rFonts w:eastAsia="Times New Roman"/>
          <w:lang w:val="fr-FR" w:eastAsia="fr-FR"/>
        </w:rPr>
        <w:t xml:space="preserve"> (principales traditions de la pensée politique, approches de la démocratie).</w:t>
      </w:r>
    </w:p>
    <w:p w14:paraId="7B4EB845" w14:textId="77777777" w:rsidR="007F188D" w:rsidRPr="007F188D" w:rsidRDefault="007F188D" w:rsidP="007F188D">
      <w:pPr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>Cette formation donne également une large place aux enjeux environnementaux avec jusqu’à quatre cours dédiés. Elle propose, enfin, des enseignements qui valorisent une approche interdisciplinaire (économie politique, histoire, anthropologie).</w:t>
      </w:r>
    </w:p>
    <w:p w14:paraId="16002D79" w14:textId="77777777" w:rsidR="007F188D" w:rsidRDefault="007F188D" w:rsidP="007F188D">
      <w:pPr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lastRenderedPageBreak/>
        <w:t>Chaque semestre comporte une unité d’enseignements dite « fondamentaux », une unité de cours de « spécialisation » et une unité « ouverture », dédiée à l’apprentissage des langues, la professionnalisation et l’acquisition de compétences transversales</w:t>
      </w:r>
    </w:p>
    <w:p w14:paraId="1FDD3EEB" w14:textId="6EEFC838" w:rsidR="007F188D" w:rsidRPr="007F188D" w:rsidRDefault="00925A87" w:rsidP="00953E4C">
      <w:pPr>
        <w:spacing w:before="100" w:beforeAutospacing="1" w:after="100" w:afterAutospacing="1"/>
        <w:outlineLvl w:val="2"/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</w:pPr>
      <w:r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Une s</w:t>
      </w:r>
      <w:r w:rsidR="007F188D" w:rsidRPr="007F188D"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pécialisation progressive</w:t>
      </w:r>
    </w:p>
    <w:p w14:paraId="05C38D8C" w14:textId="77777777" w:rsidR="007F188D" w:rsidRDefault="0011530B" w:rsidP="00953E4C">
      <w:pPr>
        <w:jc w:val="both"/>
        <w:rPr>
          <w:rFonts w:eastAsia="Times New Roman"/>
          <w:lang w:val="fr-FR" w:eastAsia="fr-FR"/>
        </w:rPr>
      </w:pPr>
      <w:r>
        <w:rPr>
          <w:rFonts w:eastAsia="Times New Roman"/>
          <w:lang w:val="fr-FR" w:eastAsia="fr-FR"/>
        </w:rPr>
        <w:t xml:space="preserve">Le programme de formation propose une spécialisation progressive aux objets de la science politique de la Licence 1 à la Licence 3 ; </w:t>
      </w:r>
      <w:r w:rsidR="007F188D" w:rsidRPr="007F188D">
        <w:rPr>
          <w:rFonts w:eastAsia="Times New Roman"/>
          <w:lang w:val="fr-FR" w:eastAsia="fr-FR"/>
        </w:rPr>
        <w:t xml:space="preserve">À partir de la rentrée 2026, en Licence 3, </w:t>
      </w:r>
      <w:r w:rsidR="007F188D" w:rsidRPr="007F188D">
        <w:rPr>
          <w:rFonts w:eastAsia="Times New Roman"/>
          <w:b/>
          <w:lang w:val="fr-FR" w:eastAsia="fr-FR"/>
        </w:rPr>
        <w:t>deux parcours de spécialisation</w:t>
      </w:r>
      <w:r w:rsidR="007F188D" w:rsidRPr="007F188D">
        <w:rPr>
          <w:rFonts w:eastAsia="Times New Roman"/>
          <w:lang w:val="fr-FR" w:eastAsia="fr-FR"/>
        </w:rPr>
        <w:t xml:space="preserve"> sont </w:t>
      </w:r>
      <w:r>
        <w:rPr>
          <w:rFonts w:eastAsia="Times New Roman"/>
          <w:lang w:val="fr-FR" w:eastAsia="fr-FR"/>
        </w:rPr>
        <w:t xml:space="preserve">par ailleurs </w:t>
      </w:r>
      <w:r w:rsidR="007F188D" w:rsidRPr="007F188D">
        <w:rPr>
          <w:rFonts w:eastAsia="Times New Roman"/>
          <w:lang w:val="fr-FR" w:eastAsia="fr-FR"/>
        </w:rPr>
        <w:t xml:space="preserve">proposés permettant un approfondissement ciblé d’un domaine de la science politique : </w:t>
      </w:r>
      <w:r w:rsidR="007F188D" w:rsidRPr="007F188D">
        <w:rPr>
          <w:rFonts w:eastAsia="Times New Roman"/>
          <w:b/>
          <w:lang w:val="fr-FR" w:eastAsia="fr-FR"/>
        </w:rPr>
        <w:t>sociologie de l’action publique et sociologie politique de l’international</w:t>
      </w:r>
      <w:r w:rsidR="007F188D" w:rsidRPr="007F188D">
        <w:rPr>
          <w:rFonts w:eastAsia="Times New Roman"/>
          <w:lang w:val="fr-FR" w:eastAsia="fr-FR"/>
        </w:rPr>
        <w:t xml:space="preserve">. Ces spécialisations permettent une pré-orientation vers les domaines de spécialités offerts dans les masters de science politique. Les étudiantes et étudiants peuvent également choisir une </w:t>
      </w:r>
      <w:r w:rsidR="007F188D" w:rsidRPr="007F188D">
        <w:rPr>
          <w:rFonts w:eastAsia="Times New Roman"/>
          <w:b/>
          <w:lang w:val="fr-FR" w:eastAsia="fr-FR"/>
        </w:rPr>
        <w:t>spécialisation externe</w:t>
      </w:r>
      <w:r w:rsidR="007F188D" w:rsidRPr="007F188D">
        <w:rPr>
          <w:rFonts w:eastAsia="Times New Roman"/>
          <w:lang w:val="fr-FR" w:eastAsia="fr-FR"/>
        </w:rPr>
        <w:t xml:space="preserve"> en suivant quatre enseignements dans une licence partenaire au sein de l’université (géographie, études européennes et internationales, philosophie).</w:t>
      </w:r>
    </w:p>
    <w:p w14:paraId="3A19F4F9" w14:textId="77777777" w:rsidR="00953E4C" w:rsidRPr="007F188D" w:rsidRDefault="00953E4C" w:rsidP="00953E4C">
      <w:pPr>
        <w:jc w:val="both"/>
        <w:rPr>
          <w:rFonts w:eastAsia="Times New Roman"/>
          <w:lang w:val="fr-FR" w:eastAsia="fr-FR"/>
        </w:rPr>
      </w:pPr>
    </w:p>
    <w:p w14:paraId="10D7C861" w14:textId="2E38BC17" w:rsidR="007F188D" w:rsidRPr="007F188D" w:rsidRDefault="00925A87" w:rsidP="00953E4C">
      <w:pPr>
        <w:outlineLvl w:val="2"/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</w:pPr>
      <w:r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La m</w:t>
      </w:r>
      <w:r w:rsidR="007F188D" w:rsidRPr="007F188D"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aîtrise de techniques d’enquête en sciences sociales</w:t>
      </w:r>
    </w:p>
    <w:p w14:paraId="412EF580" w14:textId="77777777" w:rsidR="007F188D" w:rsidRDefault="007F188D" w:rsidP="00953E4C">
      <w:pPr>
        <w:spacing w:before="100" w:beforeAutospacing="1"/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 xml:space="preserve">Au cours de la licence, les </w:t>
      </w:r>
      <w:proofErr w:type="spellStart"/>
      <w:r w:rsidRPr="007F188D">
        <w:rPr>
          <w:rFonts w:eastAsia="Times New Roman"/>
          <w:lang w:val="fr-FR" w:eastAsia="fr-FR"/>
        </w:rPr>
        <w:t>étudiant·es</w:t>
      </w:r>
      <w:proofErr w:type="spellEnd"/>
      <w:r w:rsidRPr="007F188D">
        <w:rPr>
          <w:rFonts w:eastAsia="Times New Roman"/>
          <w:lang w:val="fr-FR" w:eastAsia="fr-FR"/>
        </w:rPr>
        <w:t xml:space="preserve"> sont formées à la conduite d’enquête en sciences sociales. Deux cours en Licence 1 visent spécifiquement l’acquisition de techniques d’enquêtes qualitatives et quantitatives. À partir de la rentrée 2026, en Licence 2, les </w:t>
      </w:r>
      <w:proofErr w:type="spellStart"/>
      <w:r w:rsidRPr="007F188D">
        <w:rPr>
          <w:rFonts w:eastAsia="Times New Roman"/>
          <w:lang w:val="fr-FR" w:eastAsia="fr-FR"/>
        </w:rPr>
        <w:t>étudiant·es</w:t>
      </w:r>
      <w:proofErr w:type="spellEnd"/>
      <w:r w:rsidRPr="007F188D">
        <w:rPr>
          <w:rFonts w:eastAsia="Times New Roman"/>
          <w:lang w:val="fr-FR" w:eastAsia="fr-FR"/>
        </w:rPr>
        <w:t xml:space="preserve"> réalisent une enquête collective en groupe, encadrée par </w:t>
      </w:r>
      <w:proofErr w:type="gramStart"/>
      <w:r w:rsidRPr="007F188D">
        <w:rPr>
          <w:rFonts w:eastAsia="Times New Roman"/>
          <w:lang w:val="fr-FR" w:eastAsia="fr-FR"/>
        </w:rPr>
        <w:t xml:space="preserve">les </w:t>
      </w:r>
      <w:proofErr w:type="spellStart"/>
      <w:r w:rsidRPr="007F188D">
        <w:rPr>
          <w:rFonts w:eastAsia="Times New Roman"/>
          <w:lang w:val="fr-FR" w:eastAsia="fr-FR"/>
        </w:rPr>
        <w:t>enseignant</w:t>
      </w:r>
      <w:proofErr w:type="gramEnd"/>
      <w:r w:rsidRPr="007F188D">
        <w:rPr>
          <w:rFonts w:eastAsia="Times New Roman"/>
          <w:lang w:val="fr-FR" w:eastAsia="fr-FR"/>
        </w:rPr>
        <w:t>·es</w:t>
      </w:r>
      <w:proofErr w:type="spellEnd"/>
      <w:r w:rsidRPr="007F188D">
        <w:rPr>
          <w:rFonts w:eastAsia="Times New Roman"/>
          <w:lang w:val="fr-FR" w:eastAsia="fr-FR"/>
        </w:rPr>
        <w:t xml:space="preserve"> du département.</w:t>
      </w:r>
    </w:p>
    <w:p w14:paraId="418CF52F" w14:textId="77777777" w:rsidR="00953E4C" w:rsidRPr="007F188D" w:rsidRDefault="00953E4C" w:rsidP="00953E4C">
      <w:pPr>
        <w:jc w:val="both"/>
        <w:rPr>
          <w:rFonts w:eastAsia="Times New Roman"/>
          <w:lang w:val="fr-FR" w:eastAsia="fr-FR"/>
        </w:rPr>
      </w:pPr>
    </w:p>
    <w:p w14:paraId="57A6E311" w14:textId="3475F04D" w:rsidR="00BD11E1" w:rsidRPr="007F188D" w:rsidRDefault="00925A87" w:rsidP="00BD11E1">
      <w:pPr>
        <w:spacing w:after="100" w:afterAutospacing="1"/>
        <w:outlineLvl w:val="2"/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</w:pPr>
      <w:r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L’a</w:t>
      </w:r>
      <w:r w:rsidR="00BD11E1" w:rsidRPr="007F188D"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cquisition de compétences transversales</w:t>
      </w:r>
    </w:p>
    <w:p w14:paraId="3861D898" w14:textId="77777777" w:rsidR="00BD11E1" w:rsidRDefault="00BD11E1" w:rsidP="00BD11E1">
      <w:pPr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>Les étudiantes et étudiants valident chaque année au moins un cours dit « Élément Constitutif libre » ou « Élément Constitutif découverte ». Ces cours permettent de découvrir une autre discipline, de profiter du programme « </w:t>
      </w:r>
      <w:hyperlink r:id="rId8" w:history="1">
        <w:r w:rsidRPr="007F188D">
          <w:rPr>
            <w:rFonts w:eastAsia="Times New Roman"/>
            <w:color w:val="0000FF"/>
            <w:u w:val="single"/>
            <w:lang w:val="fr-FR" w:eastAsia="fr-FR"/>
          </w:rPr>
          <w:t xml:space="preserve">So </w:t>
        </w:r>
        <w:proofErr w:type="spellStart"/>
        <w:r w:rsidRPr="007F188D">
          <w:rPr>
            <w:rFonts w:eastAsia="Times New Roman"/>
            <w:color w:val="0000FF"/>
            <w:u w:val="single"/>
            <w:lang w:val="fr-FR" w:eastAsia="fr-FR"/>
          </w:rPr>
          <w:t>Skilled</w:t>
        </w:r>
        <w:proofErr w:type="spellEnd"/>
      </w:hyperlink>
      <w:r w:rsidRPr="007F188D">
        <w:rPr>
          <w:rFonts w:eastAsia="Times New Roman"/>
          <w:lang w:val="fr-FR" w:eastAsia="fr-FR"/>
        </w:rPr>
        <w:t> » qui vise à développer et valoriser les compétences transversales ou encore de valoriser son action en faveur de l’intérêt général avec la validation d’un « engagement étudiant ».</w:t>
      </w:r>
    </w:p>
    <w:p w14:paraId="1CBF1BC2" w14:textId="77777777" w:rsidR="00BD11E1" w:rsidRPr="007F188D" w:rsidRDefault="00BD11E1" w:rsidP="00BD11E1">
      <w:pPr>
        <w:jc w:val="both"/>
        <w:rPr>
          <w:rFonts w:eastAsia="Times New Roman"/>
          <w:lang w:val="fr-FR" w:eastAsia="fr-FR"/>
        </w:rPr>
      </w:pPr>
    </w:p>
    <w:p w14:paraId="6A98A177" w14:textId="623392BA" w:rsidR="007F188D" w:rsidRPr="007F188D" w:rsidRDefault="00925A87" w:rsidP="00953E4C">
      <w:pPr>
        <w:outlineLvl w:val="2"/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</w:pPr>
      <w:r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L’a</w:t>
      </w:r>
      <w:r w:rsidR="007F188D" w:rsidRPr="007F188D"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ccompagnement à la socialisation universitaire</w:t>
      </w:r>
    </w:p>
    <w:p w14:paraId="7C7730B6" w14:textId="77777777" w:rsidR="007F188D" w:rsidRDefault="007F188D" w:rsidP="007F188D">
      <w:pPr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 xml:space="preserve">L’équipe pédagogique de la licence de science politique propose un accompagnement des </w:t>
      </w:r>
      <w:proofErr w:type="spellStart"/>
      <w:r w:rsidRPr="007F188D">
        <w:rPr>
          <w:rFonts w:eastAsia="Times New Roman"/>
          <w:lang w:val="fr-FR" w:eastAsia="fr-FR"/>
        </w:rPr>
        <w:t>étudiant·es</w:t>
      </w:r>
      <w:proofErr w:type="spellEnd"/>
      <w:r w:rsidRPr="007F188D">
        <w:rPr>
          <w:rFonts w:eastAsia="Times New Roman"/>
          <w:lang w:val="fr-FR" w:eastAsia="fr-FR"/>
        </w:rPr>
        <w:t xml:space="preserve"> dans leur socialisation universitaire et leur réussite. Plusieurs dispositifs sont mis en place dans ce sens : </w:t>
      </w:r>
    </w:p>
    <w:p w14:paraId="0394B832" w14:textId="77777777" w:rsidR="007F188D" w:rsidRDefault="007F188D" w:rsidP="00BD11E1">
      <w:pPr>
        <w:pStyle w:val="Paragraphedeliste"/>
        <w:numPr>
          <w:ilvl w:val="0"/>
          <w:numId w:val="7"/>
        </w:numPr>
        <w:spacing w:after="240"/>
        <w:ind w:left="714" w:hanging="357"/>
        <w:jc w:val="both"/>
        <w:rPr>
          <w:rFonts w:eastAsia="Times New Roman"/>
          <w:lang w:val="fr-FR" w:eastAsia="fr-FR"/>
        </w:rPr>
      </w:pPr>
      <w:r>
        <w:rPr>
          <w:rFonts w:eastAsia="Times New Roman"/>
          <w:lang w:val="fr-FR" w:eastAsia="fr-FR"/>
        </w:rPr>
        <w:t>U</w:t>
      </w:r>
      <w:r w:rsidRPr="007F188D">
        <w:rPr>
          <w:rFonts w:eastAsia="Times New Roman"/>
          <w:lang w:val="fr-FR" w:eastAsia="fr-FR"/>
        </w:rPr>
        <w:t xml:space="preserve">ne </w:t>
      </w:r>
      <w:r w:rsidRPr="007B7FBF">
        <w:rPr>
          <w:rFonts w:eastAsia="Times New Roman"/>
          <w:b/>
          <w:lang w:val="fr-FR" w:eastAsia="fr-FR"/>
        </w:rPr>
        <w:t>semaine d’intégration</w:t>
      </w:r>
      <w:r w:rsidRPr="007F188D">
        <w:rPr>
          <w:rFonts w:eastAsia="Times New Roman"/>
          <w:lang w:val="fr-FR" w:eastAsia="fr-FR"/>
        </w:rPr>
        <w:t xml:space="preserve"> en Licence 1 dans le cadre d’un cours « méthodologie de l’expérience étudiante » (M2E)</w:t>
      </w:r>
    </w:p>
    <w:p w14:paraId="7B6B1639" w14:textId="77777777" w:rsidR="007F188D" w:rsidRDefault="007F188D" w:rsidP="00BD11E1">
      <w:pPr>
        <w:pStyle w:val="Paragraphedeliste"/>
        <w:numPr>
          <w:ilvl w:val="0"/>
          <w:numId w:val="7"/>
        </w:numPr>
        <w:spacing w:after="240"/>
        <w:ind w:left="714" w:hanging="357"/>
        <w:jc w:val="both"/>
        <w:rPr>
          <w:rFonts w:eastAsia="Times New Roman"/>
          <w:lang w:val="fr-FR" w:eastAsia="fr-FR"/>
        </w:rPr>
      </w:pPr>
      <w:r>
        <w:rPr>
          <w:rFonts w:eastAsia="Times New Roman"/>
          <w:lang w:val="fr-FR" w:eastAsia="fr-FR"/>
        </w:rPr>
        <w:t>Un</w:t>
      </w:r>
      <w:r w:rsidRPr="007F188D">
        <w:rPr>
          <w:rFonts w:eastAsia="Times New Roman"/>
          <w:lang w:val="fr-FR" w:eastAsia="fr-FR"/>
        </w:rPr>
        <w:t xml:space="preserve"> </w:t>
      </w:r>
      <w:r w:rsidRPr="007B7FBF">
        <w:rPr>
          <w:rFonts w:eastAsia="Times New Roman"/>
          <w:b/>
          <w:lang w:val="fr-FR" w:eastAsia="fr-FR"/>
        </w:rPr>
        <w:t>enseignement « Lire &amp; écrire le monde social et politique »</w:t>
      </w:r>
      <w:r w:rsidRPr="007F188D">
        <w:rPr>
          <w:rFonts w:eastAsia="Times New Roman"/>
          <w:lang w:val="fr-FR" w:eastAsia="fr-FR"/>
        </w:rPr>
        <w:t xml:space="preserve"> en Licence 1 à compter de la rentrée 2026 pour permettre l’appropriation de compétences argumentatives, d’une capacité de synthèse et la familiarisation à la lecture et l’écriture scientifique</w:t>
      </w:r>
    </w:p>
    <w:p w14:paraId="56409486" w14:textId="77777777" w:rsidR="007F188D" w:rsidRDefault="007F188D" w:rsidP="00BD11E1">
      <w:pPr>
        <w:pStyle w:val="Paragraphedeliste"/>
        <w:numPr>
          <w:ilvl w:val="0"/>
          <w:numId w:val="7"/>
        </w:numPr>
        <w:spacing w:after="240"/>
        <w:ind w:left="714" w:hanging="357"/>
        <w:jc w:val="both"/>
        <w:rPr>
          <w:rFonts w:eastAsia="Times New Roman"/>
          <w:lang w:val="fr-FR" w:eastAsia="fr-FR"/>
        </w:rPr>
      </w:pPr>
      <w:r>
        <w:rPr>
          <w:rFonts w:eastAsia="Times New Roman"/>
          <w:lang w:val="fr-FR" w:eastAsia="fr-FR"/>
        </w:rPr>
        <w:t>D</w:t>
      </w:r>
      <w:r w:rsidRPr="007F188D">
        <w:rPr>
          <w:rFonts w:eastAsia="Times New Roman"/>
          <w:lang w:val="fr-FR" w:eastAsia="fr-FR"/>
        </w:rPr>
        <w:t xml:space="preserve">es </w:t>
      </w:r>
      <w:r w:rsidRPr="007B7FBF">
        <w:rPr>
          <w:rFonts w:eastAsia="Times New Roman"/>
          <w:b/>
          <w:lang w:val="fr-FR" w:eastAsia="fr-FR"/>
        </w:rPr>
        <w:t>permanences hebdomadaires</w:t>
      </w:r>
      <w:r w:rsidRPr="007F188D">
        <w:rPr>
          <w:rFonts w:eastAsia="Times New Roman"/>
          <w:lang w:val="fr-FR" w:eastAsia="fr-FR"/>
        </w:rPr>
        <w:t xml:space="preserve"> </w:t>
      </w:r>
      <w:r w:rsidRPr="007B7FBF">
        <w:rPr>
          <w:rFonts w:eastAsia="Times New Roman"/>
          <w:b/>
          <w:lang w:val="fr-FR" w:eastAsia="fr-FR"/>
        </w:rPr>
        <w:t>d’accompagnement</w:t>
      </w:r>
      <w:r w:rsidRPr="007F188D">
        <w:rPr>
          <w:rFonts w:eastAsia="Times New Roman"/>
          <w:lang w:val="fr-FR" w:eastAsia="fr-FR"/>
        </w:rPr>
        <w:t xml:space="preserve"> assurées par des tuteurs et tutrices (</w:t>
      </w:r>
      <w:proofErr w:type="spellStart"/>
      <w:r w:rsidRPr="007F188D">
        <w:rPr>
          <w:rFonts w:eastAsia="Times New Roman"/>
          <w:lang w:val="fr-FR" w:eastAsia="fr-FR"/>
        </w:rPr>
        <w:t>étudiant·es</w:t>
      </w:r>
      <w:proofErr w:type="spellEnd"/>
      <w:r w:rsidRPr="007F188D">
        <w:rPr>
          <w:rFonts w:eastAsia="Times New Roman"/>
          <w:lang w:val="fr-FR" w:eastAsia="fr-FR"/>
        </w:rPr>
        <w:t xml:space="preserve"> de master) </w:t>
      </w:r>
      <w:proofErr w:type="spellStart"/>
      <w:r w:rsidRPr="007F188D">
        <w:rPr>
          <w:rFonts w:eastAsia="Times New Roman"/>
          <w:lang w:val="fr-FR" w:eastAsia="fr-FR"/>
        </w:rPr>
        <w:t>supervisé·es</w:t>
      </w:r>
      <w:proofErr w:type="spellEnd"/>
      <w:r w:rsidRPr="007F188D">
        <w:rPr>
          <w:rFonts w:eastAsia="Times New Roman"/>
          <w:lang w:val="fr-FR" w:eastAsia="fr-FR"/>
        </w:rPr>
        <w:t xml:space="preserve"> par les responsables de la licence</w:t>
      </w:r>
    </w:p>
    <w:p w14:paraId="068EB06D" w14:textId="77777777" w:rsidR="007F188D" w:rsidRDefault="007F188D" w:rsidP="00BD11E1">
      <w:pPr>
        <w:pStyle w:val="Paragraphedeliste"/>
        <w:numPr>
          <w:ilvl w:val="0"/>
          <w:numId w:val="7"/>
        </w:numPr>
        <w:spacing w:after="240"/>
        <w:ind w:left="714" w:hanging="357"/>
        <w:jc w:val="both"/>
        <w:rPr>
          <w:rFonts w:eastAsia="Times New Roman"/>
          <w:lang w:val="fr-FR" w:eastAsia="fr-FR"/>
        </w:rPr>
      </w:pPr>
      <w:r>
        <w:rPr>
          <w:rFonts w:eastAsia="Times New Roman"/>
          <w:lang w:val="fr-FR" w:eastAsia="fr-FR"/>
        </w:rPr>
        <w:t>D</w:t>
      </w:r>
      <w:r w:rsidRPr="007F188D">
        <w:rPr>
          <w:rFonts w:eastAsia="Times New Roman"/>
          <w:lang w:val="fr-FR" w:eastAsia="fr-FR"/>
        </w:rPr>
        <w:t xml:space="preserve">es </w:t>
      </w:r>
      <w:r w:rsidRPr="007B7FBF">
        <w:rPr>
          <w:rFonts w:eastAsia="Times New Roman"/>
          <w:b/>
          <w:lang w:val="fr-FR" w:eastAsia="fr-FR"/>
        </w:rPr>
        <w:t>permanences hebdomadaires tenues par l’équipe pédagogique</w:t>
      </w:r>
      <w:r w:rsidRPr="007F188D">
        <w:rPr>
          <w:rFonts w:eastAsia="Times New Roman"/>
          <w:lang w:val="fr-FR" w:eastAsia="fr-FR"/>
        </w:rPr>
        <w:t xml:space="preserve"> pour accompagner les </w:t>
      </w:r>
      <w:proofErr w:type="spellStart"/>
      <w:r w:rsidRPr="007F188D">
        <w:rPr>
          <w:rFonts w:eastAsia="Times New Roman"/>
          <w:lang w:val="fr-FR" w:eastAsia="fr-FR"/>
        </w:rPr>
        <w:t>étudiant·es</w:t>
      </w:r>
      <w:proofErr w:type="spellEnd"/>
      <w:r w:rsidRPr="007F188D">
        <w:rPr>
          <w:rFonts w:eastAsia="Times New Roman"/>
          <w:lang w:val="fr-FR" w:eastAsia="fr-FR"/>
        </w:rPr>
        <w:t xml:space="preserve"> qui le souhaitent.</w:t>
      </w:r>
    </w:p>
    <w:p w14:paraId="2B12ED9C" w14:textId="01D07594" w:rsidR="007F188D" w:rsidRPr="007F188D" w:rsidRDefault="00925A87" w:rsidP="00301E81">
      <w:pPr>
        <w:jc w:val="both"/>
        <w:outlineLvl w:val="2"/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</w:pPr>
      <w:r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L’a</w:t>
      </w:r>
      <w:r w:rsidR="007F188D" w:rsidRPr="007F188D"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ccompagnement à l’orientation professionnelle et à la poursuite en master</w:t>
      </w:r>
    </w:p>
    <w:p w14:paraId="1032535D" w14:textId="77777777" w:rsidR="007F188D" w:rsidRDefault="007F188D" w:rsidP="007F188D">
      <w:pPr>
        <w:pStyle w:val="Paragraphedeliste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 xml:space="preserve">Les </w:t>
      </w:r>
      <w:proofErr w:type="spellStart"/>
      <w:r w:rsidRPr="007F188D">
        <w:rPr>
          <w:rFonts w:eastAsia="Times New Roman"/>
          <w:lang w:val="fr-FR" w:eastAsia="fr-FR"/>
        </w:rPr>
        <w:t>étudiant·es</w:t>
      </w:r>
      <w:proofErr w:type="spellEnd"/>
      <w:r w:rsidRPr="007F188D">
        <w:rPr>
          <w:rFonts w:eastAsia="Times New Roman"/>
          <w:lang w:val="fr-FR" w:eastAsia="fr-FR"/>
        </w:rPr>
        <w:t xml:space="preserve"> suivent des enseignements en Licence 2 et Licence 3 </w:t>
      </w:r>
      <w:r w:rsidRPr="007F188D">
        <w:rPr>
          <w:rFonts w:eastAsia="Times New Roman"/>
          <w:b/>
          <w:lang w:val="fr-FR" w:eastAsia="fr-FR"/>
        </w:rPr>
        <w:t>(« méthodes de projets personnels et professionnels » dits M3P</w:t>
      </w:r>
      <w:r w:rsidRPr="007F188D">
        <w:rPr>
          <w:rFonts w:eastAsia="Times New Roman"/>
          <w:lang w:val="fr-FR" w:eastAsia="fr-FR"/>
        </w:rPr>
        <w:t xml:space="preserve">), qui aident les étudiants à valoriser leur formation et construire la suite de leur parcours professionnels. </w:t>
      </w:r>
    </w:p>
    <w:p w14:paraId="75B4DA84" w14:textId="77777777" w:rsidR="00953E4C" w:rsidRDefault="00953E4C" w:rsidP="00953E4C">
      <w:pPr>
        <w:pStyle w:val="Paragraphedeliste"/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</w:p>
    <w:p w14:paraId="363001F3" w14:textId="77777777" w:rsidR="007F188D" w:rsidRDefault="007F188D" w:rsidP="007F188D">
      <w:pPr>
        <w:pStyle w:val="Paragraphedeliste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 xml:space="preserve">Les </w:t>
      </w:r>
      <w:proofErr w:type="spellStart"/>
      <w:r w:rsidRPr="007F188D">
        <w:rPr>
          <w:rFonts w:eastAsia="Times New Roman"/>
          <w:lang w:val="fr-FR" w:eastAsia="fr-FR"/>
        </w:rPr>
        <w:t>étudiant·es</w:t>
      </w:r>
      <w:proofErr w:type="spellEnd"/>
      <w:r w:rsidRPr="007F188D">
        <w:rPr>
          <w:rFonts w:eastAsia="Times New Roman"/>
          <w:lang w:val="fr-FR" w:eastAsia="fr-FR"/>
        </w:rPr>
        <w:t xml:space="preserve"> peuvent réaliser des</w:t>
      </w:r>
      <w:r w:rsidRPr="007F188D">
        <w:rPr>
          <w:rFonts w:eastAsia="Times New Roman"/>
          <w:b/>
          <w:lang w:val="fr-FR" w:eastAsia="fr-FR"/>
        </w:rPr>
        <w:t xml:space="preserve"> stages </w:t>
      </w:r>
      <w:r w:rsidRPr="007F188D">
        <w:rPr>
          <w:rFonts w:eastAsia="Times New Roman"/>
          <w:lang w:val="fr-FR" w:eastAsia="fr-FR"/>
        </w:rPr>
        <w:t xml:space="preserve">au cours de la licence et suivent un </w:t>
      </w:r>
      <w:r w:rsidRPr="007F188D">
        <w:rPr>
          <w:rFonts w:eastAsia="Times New Roman"/>
          <w:b/>
          <w:lang w:val="fr-FR" w:eastAsia="fr-FR"/>
        </w:rPr>
        <w:t>cours « expérience professionnelle »</w:t>
      </w:r>
      <w:r w:rsidRPr="007F188D">
        <w:rPr>
          <w:rFonts w:eastAsia="Times New Roman"/>
          <w:lang w:val="fr-FR" w:eastAsia="fr-FR"/>
        </w:rPr>
        <w:t xml:space="preserve"> qui propose des éléments empiriques et des notions théoriques dans le domaine de l’action publique sur des thématiques liées aux discriminations et aux migrations</w:t>
      </w:r>
      <w:r>
        <w:rPr>
          <w:rFonts w:eastAsia="Times New Roman"/>
          <w:lang w:val="fr-FR" w:eastAsia="fr-FR"/>
        </w:rPr>
        <w:t>,</w:t>
      </w:r>
      <w:r w:rsidRPr="007F188D">
        <w:rPr>
          <w:rFonts w:eastAsia="Times New Roman"/>
          <w:lang w:val="fr-FR" w:eastAsia="fr-FR"/>
        </w:rPr>
        <w:t xml:space="preserve"> permettant l’acquisition de connaissances et compétences permettant l’élaboration, le pilotage et l’évaluation de politiques publiques.</w:t>
      </w:r>
    </w:p>
    <w:p w14:paraId="6AC794D3" w14:textId="77777777" w:rsidR="00953E4C" w:rsidRPr="00953E4C" w:rsidRDefault="00953E4C" w:rsidP="00953E4C">
      <w:pPr>
        <w:pStyle w:val="Paragraphedeliste"/>
        <w:rPr>
          <w:rFonts w:eastAsia="Times New Roman"/>
          <w:lang w:val="fr-FR" w:eastAsia="fr-FR"/>
        </w:rPr>
      </w:pPr>
    </w:p>
    <w:p w14:paraId="05A562C9" w14:textId="77777777" w:rsidR="007F188D" w:rsidRDefault="007F188D" w:rsidP="00953E4C">
      <w:pPr>
        <w:pStyle w:val="Paragraphedeliste"/>
        <w:numPr>
          <w:ilvl w:val="0"/>
          <w:numId w:val="6"/>
        </w:numPr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 xml:space="preserve">Enfin un </w:t>
      </w:r>
      <w:r w:rsidRPr="007F188D">
        <w:rPr>
          <w:rFonts w:eastAsia="Times New Roman"/>
          <w:b/>
          <w:lang w:val="fr-FR" w:eastAsia="fr-FR"/>
        </w:rPr>
        <w:t xml:space="preserve">cours « Tremplin master » </w:t>
      </w:r>
      <w:r w:rsidRPr="007F188D">
        <w:rPr>
          <w:rFonts w:eastAsia="Times New Roman"/>
          <w:lang w:val="fr-FR" w:eastAsia="fr-FR"/>
        </w:rPr>
        <w:t xml:space="preserve">en Licence 3 vise à aider les </w:t>
      </w:r>
      <w:proofErr w:type="spellStart"/>
      <w:r w:rsidRPr="007F188D">
        <w:rPr>
          <w:rFonts w:eastAsia="Times New Roman"/>
          <w:lang w:val="fr-FR" w:eastAsia="fr-FR"/>
        </w:rPr>
        <w:t>étudiant·es</w:t>
      </w:r>
      <w:proofErr w:type="spellEnd"/>
      <w:r w:rsidRPr="007F188D">
        <w:rPr>
          <w:rFonts w:eastAsia="Times New Roman"/>
          <w:lang w:val="fr-FR" w:eastAsia="fr-FR"/>
        </w:rPr>
        <w:t xml:space="preserve"> qui souhaitent poursuivre leurs études en master à choisir leur formation et à y candidater dans les meilleures conditions.</w:t>
      </w:r>
    </w:p>
    <w:p w14:paraId="34CB5D83" w14:textId="77777777" w:rsidR="00953E4C" w:rsidRPr="007F188D" w:rsidRDefault="00953E4C" w:rsidP="00953E4C">
      <w:pPr>
        <w:pStyle w:val="Paragraphedeliste"/>
        <w:jc w:val="both"/>
        <w:rPr>
          <w:rFonts w:eastAsia="Times New Roman"/>
          <w:lang w:val="fr-FR" w:eastAsia="fr-FR"/>
        </w:rPr>
      </w:pPr>
    </w:p>
    <w:p w14:paraId="78CF2FAC" w14:textId="77777777" w:rsidR="007F188D" w:rsidRPr="007F188D" w:rsidRDefault="007F188D" w:rsidP="00953E4C">
      <w:pPr>
        <w:outlineLvl w:val="2"/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</w:pPr>
      <w:r w:rsidRPr="007F188D"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Ouverture internationale &amp; compétences en langues étrangères</w:t>
      </w:r>
    </w:p>
    <w:p w14:paraId="3F64C575" w14:textId="77777777" w:rsidR="007F188D" w:rsidRPr="007F188D" w:rsidRDefault="007F188D" w:rsidP="007F188D">
      <w:pPr>
        <w:spacing w:before="100" w:beforeAutospacing="1" w:after="100" w:afterAutospacing="1"/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 xml:space="preserve">Les </w:t>
      </w:r>
      <w:hyperlink r:id="rId9" w:history="1">
        <w:r w:rsidRPr="007F188D">
          <w:rPr>
            <w:rFonts w:eastAsia="Times New Roman"/>
            <w:color w:val="0000FF"/>
            <w:u w:val="single"/>
            <w:lang w:val="fr-FR" w:eastAsia="fr-FR"/>
          </w:rPr>
          <w:t>échanges internationaux</w:t>
        </w:r>
      </w:hyperlink>
      <w:r w:rsidRPr="007F188D">
        <w:rPr>
          <w:rFonts w:eastAsia="Times New Roman"/>
          <w:lang w:val="fr-FR" w:eastAsia="fr-FR"/>
        </w:rPr>
        <w:t xml:space="preserve"> encouragés et facilités, parmi un grand choix d’universités étrangères partenaires, dès la Licence 2. </w:t>
      </w:r>
    </w:p>
    <w:p w14:paraId="17F7E99B" w14:textId="77777777" w:rsidR="007F188D" w:rsidRDefault="007F188D" w:rsidP="00953E4C">
      <w:pPr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 xml:space="preserve">L’acquisition des compétences en langues étrangères est assurée tout au long de la formation par le suivi d’un cours de langue chaque année, la mobilisation par les </w:t>
      </w:r>
      <w:proofErr w:type="spellStart"/>
      <w:r w:rsidRPr="007F188D">
        <w:rPr>
          <w:rFonts w:eastAsia="Times New Roman"/>
          <w:lang w:val="fr-FR" w:eastAsia="fr-FR"/>
        </w:rPr>
        <w:t>enseignant·es</w:t>
      </w:r>
      <w:proofErr w:type="spellEnd"/>
      <w:r w:rsidRPr="007F188D">
        <w:rPr>
          <w:rFonts w:eastAsia="Times New Roman"/>
          <w:lang w:val="fr-FR" w:eastAsia="fr-FR"/>
        </w:rPr>
        <w:t xml:space="preserve"> d’une littérature scientifique et de supports pédagogiques anglophones dans les cours, ou encore la possibilité pour quelques </w:t>
      </w:r>
      <w:proofErr w:type="spellStart"/>
      <w:r w:rsidRPr="007F188D">
        <w:rPr>
          <w:rFonts w:eastAsia="Times New Roman"/>
          <w:lang w:val="fr-FR" w:eastAsia="fr-FR"/>
        </w:rPr>
        <w:t>étudiant·es</w:t>
      </w:r>
      <w:proofErr w:type="spellEnd"/>
      <w:r w:rsidRPr="007F188D">
        <w:rPr>
          <w:rFonts w:eastAsia="Times New Roman"/>
          <w:lang w:val="fr-FR" w:eastAsia="fr-FR"/>
        </w:rPr>
        <w:t xml:space="preserve"> de licence de participer à des initiatives dans le cadre de « </w:t>
      </w:r>
      <w:proofErr w:type="spellStart"/>
      <w:r w:rsidRPr="007F188D">
        <w:rPr>
          <w:rFonts w:eastAsia="Times New Roman"/>
          <w:lang w:val="fr-FR" w:eastAsia="fr-FR"/>
        </w:rPr>
        <w:fldChar w:fldCharType="begin"/>
      </w:r>
      <w:r w:rsidRPr="007F188D">
        <w:rPr>
          <w:rFonts w:eastAsia="Times New Roman"/>
          <w:lang w:val="fr-FR" w:eastAsia="fr-FR"/>
        </w:rPr>
        <w:instrText xml:space="preserve"> HYPERLINK "https://www.univ-paris8.fr/-Universite-europeenne-ERUA-" </w:instrText>
      </w:r>
      <w:r w:rsidRPr="007F188D">
        <w:rPr>
          <w:rFonts w:eastAsia="Times New Roman"/>
          <w:lang w:val="fr-FR" w:eastAsia="fr-FR"/>
        </w:rPr>
        <w:fldChar w:fldCharType="separate"/>
      </w:r>
      <w:r w:rsidRPr="007F188D">
        <w:rPr>
          <w:rFonts w:eastAsia="Times New Roman"/>
          <w:color w:val="0000FF"/>
          <w:u w:val="single"/>
          <w:lang w:val="fr-FR" w:eastAsia="fr-FR"/>
        </w:rPr>
        <w:t>European</w:t>
      </w:r>
      <w:proofErr w:type="spellEnd"/>
      <w:r w:rsidRPr="007F188D">
        <w:rPr>
          <w:rFonts w:eastAsia="Times New Roman"/>
          <w:color w:val="0000FF"/>
          <w:u w:val="single"/>
          <w:lang w:val="fr-FR" w:eastAsia="fr-FR"/>
        </w:rPr>
        <w:t xml:space="preserve"> Reform </w:t>
      </w:r>
      <w:proofErr w:type="spellStart"/>
      <w:r w:rsidRPr="007F188D">
        <w:rPr>
          <w:rFonts w:eastAsia="Times New Roman"/>
          <w:color w:val="0000FF"/>
          <w:u w:val="single"/>
          <w:lang w:val="fr-FR" w:eastAsia="fr-FR"/>
        </w:rPr>
        <w:t>Universities</w:t>
      </w:r>
      <w:proofErr w:type="spellEnd"/>
      <w:r w:rsidRPr="007F188D">
        <w:rPr>
          <w:rFonts w:eastAsia="Times New Roman"/>
          <w:color w:val="0000FF"/>
          <w:u w:val="single"/>
          <w:lang w:val="fr-FR" w:eastAsia="fr-FR"/>
        </w:rPr>
        <w:t xml:space="preserve"> Alliance</w:t>
      </w:r>
      <w:r w:rsidRPr="007F188D">
        <w:rPr>
          <w:rFonts w:eastAsia="Times New Roman"/>
          <w:lang w:val="fr-FR" w:eastAsia="fr-FR"/>
        </w:rPr>
        <w:fldChar w:fldCharType="end"/>
      </w:r>
      <w:r w:rsidRPr="007F188D">
        <w:rPr>
          <w:rFonts w:eastAsia="Times New Roman"/>
          <w:lang w:val="fr-FR" w:eastAsia="fr-FR"/>
        </w:rPr>
        <w:t> » (ERUA) dont faire partie l’université Paris 8.</w:t>
      </w:r>
    </w:p>
    <w:p w14:paraId="1CC99975" w14:textId="77777777" w:rsidR="00953E4C" w:rsidRPr="007F188D" w:rsidRDefault="00953E4C" w:rsidP="00953E4C">
      <w:pPr>
        <w:jc w:val="both"/>
        <w:rPr>
          <w:rFonts w:eastAsia="Times New Roman"/>
          <w:lang w:val="fr-FR" w:eastAsia="fr-FR"/>
        </w:rPr>
      </w:pPr>
    </w:p>
    <w:p w14:paraId="7D10CF2E" w14:textId="08204E8E" w:rsidR="007F188D" w:rsidRPr="007F188D" w:rsidRDefault="00925A87" w:rsidP="00953E4C">
      <w:pPr>
        <w:outlineLvl w:val="2"/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</w:pPr>
      <w:r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Les d</w:t>
      </w:r>
      <w:r w:rsidR="007F188D" w:rsidRPr="007F188D">
        <w:rPr>
          <w:rFonts w:ascii="Century Gothic" w:eastAsia="Times New Roman" w:hAnsi="Century Gothic"/>
          <w:b/>
          <w:bCs/>
          <w:sz w:val="27"/>
          <w:szCs w:val="27"/>
          <w:lang w:val="fr-FR" w:eastAsia="fr-FR"/>
        </w:rPr>
        <w:t>ébouchés professionnels </w:t>
      </w:r>
    </w:p>
    <w:p w14:paraId="08E901F7" w14:textId="77777777" w:rsidR="007F188D" w:rsidRDefault="007F188D" w:rsidP="00953E4C">
      <w:pPr>
        <w:spacing w:before="100" w:beforeAutospacing="1"/>
        <w:jc w:val="both"/>
        <w:rPr>
          <w:rFonts w:eastAsia="Times New Roman"/>
          <w:lang w:val="fr-FR" w:eastAsia="fr-FR"/>
        </w:rPr>
      </w:pPr>
      <w:r w:rsidRPr="007F188D">
        <w:rPr>
          <w:rFonts w:eastAsia="Times New Roman"/>
          <w:lang w:val="fr-FR" w:eastAsia="fr-FR"/>
        </w:rPr>
        <w:t xml:space="preserve">La licence forme des </w:t>
      </w:r>
      <w:proofErr w:type="spellStart"/>
      <w:r w:rsidRPr="007F188D">
        <w:rPr>
          <w:rFonts w:eastAsia="Times New Roman"/>
          <w:lang w:val="fr-FR" w:eastAsia="fr-FR"/>
        </w:rPr>
        <w:t>étudiant·es</w:t>
      </w:r>
      <w:proofErr w:type="spellEnd"/>
      <w:r w:rsidRPr="007F188D">
        <w:rPr>
          <w:rFonts w:eastAsia="Times New Roman"/>
          <w:lang w:val="fr-FR" w:eastAsia="fr-FR"/>
        </w:rPr>
        <w:t xml:space="preserve"> </w:t>
      </w:r>
      <w:proofErr w:type="spellStart"/>
      <w:r w:rsidRPr="007F188D">
        <w:rPr>
          <w:rFonts w:eastAsia="Times New Roman"/>
          <w:lang w:val="fr-FR" w:eastAsia="fr-FR"/>
        </w:rPr>
        <w:t>polyvalent·es</w:t>
      </w:r>
      <w:proofErr w:type="spellEnd"/>
      <w:r w:rsidRPr="007F188D">
        <w:rPr>
          <w:rFonts w:eastAsia="Times New Roman"/>
          <w:lang w:val="fr-FR" w:eastAsia="fr-FR"/>
        </w:rPr>
        <w:t>, susceptibles d’intervenir dans des domaines variés : administration publique (fonction publique d’État, territoriale, européenne) ; métiers du secteur associatif et syndical ; ONG et organisations internationales ; journalisme et médias ; conseil et communication politique.</w:t>
      </w:r>
    </w:p>
    <w:p w14:paraId="6DFD03B8" w14:textId="77777777" w:rsidR="00953E4C" w:rsidRPr="007F188D" w:rsidRDefault="00953E4C" w:rsidP="00953E4C">
      <w:pPr>
        <w:spacing w:after="100"/>
        <w:jc w:val="both"/>
        <w:rPr>
          <w:rFonts w:eastAsia="Times New Roman"/>
          <w:lang w:val="fr-FR" w:eastAsia="fr-FR"/>
        </w:rPr>
      </w:pPr>
    </w:p>
    <w:p w14:paraId="1E84A361" w14:textId="3DDF3536" w:rsidR="007F188D" w:rsidRPr="00953E4C" w:rsidRDefault="00925A87" w:rsidP="00953E4C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00" w:line="240" w:lineRule="auto"/>
        <w:outlineLvl w:val="0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>
        <w:rPr>
          <w:rStyle w:val="Aucun"/>
          <w:rFonts w:ascii="Century Gothic" w:hAnsi="Century Gothic"/>
          <w:b/>
          <w:bCs/>
          <w:sz w:val="27"/>
          <w:szCs w:val="27"/>
        </w:rPr>
        <w:t>Les c</w:t>
      </w:r>
      <w:r w:rsidR="007F188D" w:rsidRPr="00953E4C">
        <w:rPr>
          <w:rStyle w:val="Aucun"/>
          <w:rFonts w:ascii="Century Gothic" w:hAnsi="Century Gothic"/>
          <w:b/>
          <w:bCs/>
          <w:sz w:val="27"/>
          <w:szCs w:val="27"/>
        </w:rPr>
        <w:t>onditions d’accès</w:t>
      </w:r>
    </w:p>
    <w:p w14:paraId="617C8BB0" w14:textId="77777777" w:rsidR="007F188D" w:rsidRDefault="007F188D" w:rsidP="007F18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Fonts w:eastAsia="Times New Roman"/>
          <w:color w:val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La licence de science politique offre 150 places en licence 1.</w:t>
      </w:r>
    </w:p>
    <w:p w14:paraId="0207DBC6" w14:textId="77777777" w:rsidR="007F188D" w:rsidRDefault="008F754E" w:rsidP="008F7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ind w:left="708"/>
        <w:rPr>
          <w:rStyle w:val="Hyperlink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DLaM Display"/>
          <w:noProof/>
          <w:sz w:val="28"/>
          <w:lang w:val="fr-FR"/>
        </w:rPr>
        <w:drawing>
          <wp:anchor distT="0" distB="0" distL="114300" distR="114300" simplePos="0" relativeHeight="251661312" behindDoc="1" locked="0" layoutInCell="1" allowOverlap="1" wp14:anchorId="5823339E" wp14:editId="59802457">
            <wp:simplePos x="0" y="0"/>
            <wp:positionH relativeFrom="margin">
              <wp:posOffset>79513</wp:posOffset>
            </wp:positionH>
            <wp:positionV relativeFrom="paragraph">
              <wp:posOffset>8255</wp:posOffset>
            </wp:positionV>
            <wp:extent cx="246380" cy="246380"/>
            <wp:effectExtent l="0" t="0" r="1270" b="1270"/>
            <wp:wrapTight wrapText="bothSides">
              <wp:wrapPolygon edited="0">
                <wp:start x="0" y="0"/>
                <wp:lineTo x="0" y="20041"/>
                <wp:lineTo x="18371" y="20041"/>
                <wp:lineTo x="20041" y="11691"/>
                <wp:lineTo x="20041" y="10021"/>
                <wp:lineTo x="18371" y="0"/>
                <wp:lineTo x="0" y="0"/>
              </wp:wrapPolygon>
            </wp:wrapTight>
            <wp:docPr id="8" name="Graphique 8" descr="Flèches de chev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evronarrows_ltr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ucun"/>
          <w:rFonts w:cs="Arial Unicode MS"/>
          <w:color w:val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7F188D">
        <w:rPr>
          <w:rStyle w:val="Aucun"/>
          <w:rFonts w:cs="Arial Unicode MS"/>
          <w:color w:val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our plus de détails sur la procédure et les conditions d’admission</w:t>
      </w:r>
      <w:r>
        <w:rPr>
          <w:rStyle w:val="Aucun"/>
          <w:rFonts w:cs="Arial Unicode MS"/>
          <w:color w:val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BD11E1">
        <w:rPr>
          <w:rStyle w:val="Aucun"/>
          <w:rFonts w:cs="Arial Unicode MS"/>
          <w:color w:val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v</w:t>
      </w:r>
      <w:r>
        <w:rPr>
          <w:rStyle w:val="Aucun"/>
          <w:rFonts w:cs="Arial Unicode MS"/>
          <w:color w:val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oir la page </w:t>
      </w:r>
      <w:proofErr w:type="spellStart"/>
      <w:r>
        <w:rPr>
          <w:rStyle w:val="Aucun"/>
          <w:rFonts w:cs="Arial Unicode MS"/>
          <w:color w:val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Parcoursup</w:t>
      </w:r>
      <w:proofErr w:type="spellEnd"/>
      <w:r>
        <w:rPr>
          <w:rStyle w:val="Aucun"/>
          <w:rFonts w:cs="Arial Unicode MS"/>
          <w:color w:val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de la formation</w:t>
      </w:r>
      <w:r w:rsidR="007F188D">
        <w:rPr>
          <w:rStyle w:val="Aucun"/>
          <w:rFonts w:cs="Arial Unicode MS"/>
          <w:color w:val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 : </w:t>
      </w:r>
      <w:hyperlink r:id="rId12" w:history="1">
        <w:r w:rsidR="007F188D" w:rsidRPr="00CF387C">
          <w:rPr>
            <w:rStyle w:val="Lienhypertexte"/>
            <w:rFonts w:cs="Arial Unicode MS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t>https://dossier.parcoursup.fr/Candidats/public/fiches/afficherFicheFormation?g_ta_cod=15415</w:t>
        </w:r>
      </w:hyperlink>
    </w:p>
    <w:p w14:paraId="0286DF93" w14:textId="77777777" w:rsidR="007F188D" w:rsidRDefault="007F188D" w:rsidP="007F188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3BB711" w14:textId="77777777" w:rsidR="007B7FBF" w:rsidRDefault="007B7FBF" w:rsidP="007F188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EAB52E" w14:textId="77777777" w:rsidR="007B7FBF" w:rsidRDefault="007B7FBF" w:rsidP="007F188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3565CC" w14:textId="77777777" w:rsidR="007B7FBF" w:rsidRDefault="007B7FBF" w:rsidP="007F188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8EFA59" w14:textId="77777777" w:rsidR="008F754E" w:rsidRDefault="008F754E" w:rsidP="007B7FB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entury Gothic" w:hAnsi="Century Gothic"/>
          <w:b/>
          <w:bCs/>
          <w:sz w:val="32"/>
          <w:szCs w:val="27"/>
        </w:rPr>
      </w:pPr>
    </w:p>
    <w:p w14:paraId="52271BA5" w14:textId="77777777" w:rsidR="007F188D" w:rsidRDefault="007F188D" w:rsidP="007B7FB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entury Gothic" w:hAnsi="Century Gothic"/>
          <w:b/>
          <w:bCs/>
          <w:sz w:val="32"/>
          <w:szCs w:val="27"/>
        </w:rPr>
      </w:pPr>
      <w:r w:rsidRPr="00953E4C">
        <w:rPr>
          <w:rStyle w:val="Aucun"/>
          <w:rFonts w:ascii="Century Gothic" w:hAnsi="Century Gothic"/>
          <w:b/>
          <w:bCs/>
          <w:sz w:val="32"/>
          <w:szCs w:val="27"/>
        </w:rPr>
        <w:t>Programme des enseignements</w:t>
      </w:r>
      <w:r w:rsidR="007B7FBF" w:rsidRPr="00953E4C">
        <w:rPr>
          <w:rStyle w:val="Aucun"/>
          <w:rFonts w:ascii="Century Gothic" w:hAnsi="Century Gothic"/>
          <w:b/>
          <w:bCs/>
          <w:sz w:val="32"/>
          <w:szCs w:val="27"/>
        </w:rPr>
        <w:t xml:space="preserve"> en 202</w:t>
      </w:r>
      <w:r w:rsidR="00DC7B8C" w:rsidRPr="00953E4C">
        <w:rPr>
          <w:rStyle w:val="Aucun"/>
          <w:rFonts w:ascii="Century Gothic" w:hAnsi="Century Gothic"/>
          <w:b/>
          <w:bCs/>
          <w:sz w:val="32"/>
          <w:szCs w:val="27"/>
        </w:rPr>
        <w:t>6</w:t>
      </w:r>
      <w:r w:rsidR="007B7FBF" w:rsidRPr="00953E4C">
        <w:rPr>
          <w:rStyle w:val="Aucun"/>
          <w:rFonts w:ascii="Century Gothic" w:hAnsi="Century Gothic"/>
          <w:b/>
          <w:bCs/>
          <w:sz w:val="32"/>
          <w:szCs w:val="27"/>
        </w:rPr>
        <w:t>-202</w:t>
      </w:r>
      <w:r w:rsidR="00DC7B8C" w:rsidRPr="00953E4C">
        <w:rPr>
          <w:rStyle w:val="Aucun"/>
          <w:rFonts w:ascii="Century Gothic" w:hAnsi="Century Gothic"/>
          <w:b/>
          <w:bCs/>
          <w:sz w:val="32"/>
          <w:szCs w:val="27"/>
        </w:rPr>
        <w:t>7</w:t>
      </w:r>
    </w:p>
    <w:p w14:paraId="415C77B0" w14:textId="77777777" w:rsidR="00430612" w:rsidRPr="00953E4C" w:rsidRDefault="00430612" w:rsidP="007B7FB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entury Gothic" w:hAnsi="Century Gothic"/>
          <w:b/>
          <w:bCs/>
          <w:sz w:val="32"/>
          <w:szCs w:val="27"/>
        </w:rPr>
      </w:pPr>
    </w:p>
    <w:p w14:paraId="13686040" w14:textId="77777777" w:rsidR="0068792D" w:rsidRDefault="0068792D" w:rsidP="00953E4C">
      <w:pPr>
        <w:rPr>
          <w:sz w:val="22"/>
          <w:lang w:val="fr-FR"/>
        </w:rPr>
      </w:pPr>
    </w:p>
    <w:tbl>
      <w:tblPr>
        <w:tblStyle w:val="TableauGrille1Clair"/>
        <w:tblW w:w="10490" w:type="dxa"/>
        <w:tblInd w:w="-714" w:type="dxa"/>
        <w:tblLook w:val="04A0" w:firstRow="1" w:lastRow="0" w:firstColumn="1" w:lastColumn="0" w:noHBand="0" w:noVBand="1"/>
      </w:tblPr>
      <w:tblGrid>
        <w:gridCol w:w="1312"/>
        <w:gridCol w:w="2115"/>
        <w:gridCol w:w="1103"/>
        <w:gridCol w:w="1992"/>
        <w:gridCol w:w="1103"/>
        <w:gridCol w:w="1762"/>
        <w:gridCol w:w="1103"/>
      </w:tblGrid>
      <w:tr w:rsidR="00B4502D" w:rsidRPr="009932F6" w14:paraId="234AF158" w14:textId="77777777" w:rsidTr="00301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shd w:val="clear" w:color="auto" w:fill="339966"/>
            <w:hideMark/>
          </w:tcPr>
          <w:p w14:paraId="26412B67" w14:textId="77777777" w:rsidR="009932F6" w:rsidRPr="00B4502D" w:rsidRDefault="009932F6" w:rsidP="009932F6">
            <w:pPr>
              <w:jc w:val="center"/>
              <w:rPr>
                <w:rFonts w:eastAsia="Times New Roman"/>
                <w:color w:val="FFFFFF" w:themeColor="background1"/>
                <w:sz w:val="28"/>
                <w:lang w:val="fr-FR" w:eastAsia="fr-FR"/>
              </w:rPr>
            </w:pPr>
            <w:r w:rsidRPr="00B4502D">
              <w:rPr>
                <w:rFonts w:eastAsia="Times New Roman"/>
                <w:color w:val="FFFFFF" w:themeColor="background1"/>
                <w:sz w:val="28"/>
                <w:lang w:val="fr-FR" w:eastAsia="fr-FR"/>
              </w:rPr>
              <w:t>Semestre</w:t>
            </w:r>
          </w:p>
        </w:tc>
        <w:tc>
          <w:tcPr>
            <w:tcW w:w="2115" w:type="dxa"/>
            <w:shd w:val="clear" w:color="auto" w:fill="339966"/>
            <w:hideMark/>
          </w:tcPr>
          <w:p w14:paraId="2D2AD214" w14:textId="77777777" w:rsidR="009932F6" w:rsidRPr="00B4502D" w:rsidRDefault="009932F6" w:rsidP="00993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8"/>
                <w:lang w:val="fr-FR" w:eastAsia="fr-FR"/>
              </w:rPr>
            </w:pPr>
            <w:r w:rsidRPr="00B4502D">
              <w:rPr>
                <w:rFonts w:eastAsia="Times New Roman"/>
                <w:color w:val="FFFFFF" w:themeColor="background1"/>
                <w:sz w:val="28"/>
                <w:lang w:val="fr-FR" w:eastAsia="fr-FR"/>
              </w:rPr>
              <w:t>Fondamentaux</w:t>
            </w:r>
          </w:p>
        </w:tc>
        <w:tc>
          <w:tcPr>
            <w:tcW w:w="1103" w:type="dxa"/>
            <w:shd w:val="clear" w:color="auto" w:fill="339966"/>
            <w:hideMark/>
          </w:tcPr>
          <w:p w14:paraId="5ECA23ED" w14:textId="77777777" w:rsidR="009932F6" w:rsidRPr="00B4502D" w:rsidRDefault="009932F6" w:rsidP="00993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8"/>
                <w:lang w:val="fr-FR" w:eastAsia="fr-FR"/>
              </w:rPr>
            </w:pPr>
            <w:r w:rsidRPr="00B4502D">
              <w:rPr>
                <w:rFonts w:eastAsia="Times New Roman"/>
                <w:color w:val="FFFFFF" w:themeColor="background1"/>
                <w:sz w:val="28"/>
                <w:lang w:val="fr-FR" w:eastAsia="fr-FR"/>
              </w:rPr>
              <w:t>Crédits</w:t>
            </w:r>
          </w:p>
        </w:tc>
        <w:tc>
          <w:tcPr>
            <w:tcW w:w="1992" w:type="dxa"/>
            <w:shd w:val="clear" w:color="auto" w:fill="339966"/>
            <w:hideMark/>
          </w:tcPr>
          <w:p w14:paraId="0BD13310" w14:textId="77777777" w:rsidR="009932F6" w:rsidRPr="00B4502D" w:rsidRDefault="009932F6" w:rsidP="00993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FFFFFF" w:themeColor="background1"/>
                <w:sz w:val="28"/>
                <w:lang w:val="fr-FR" w:eastAsia="fr-FR"/>
              </w:rPr>
            </w:pPr>
            <w:r w:rsidRPr="00B4502D">
              <w:rPr>
                <w:rFonts w:eastAsia="Times New Roman"/>
                <w:color w:val="FFFFFF" w:themeColor="background1"/>
                <w:sz w:val="28"/>
                <w:lang w:val="fr-FR" w:eastAsia="fr-FR"/>
              </w:rPr>
              <w:t>Spécialisation</w:t>
            </w:r>
          </w:p>
          <w:p w14:paraId="73A098DE" w14:textId="77777777" w:rsidR="007F5484" w:rsidRPr="00B4502D" w:rsidRDefault="007F5484" w:rsidP="00993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8"/>
                <w:lang w:val="fr-FR" w:eastAsia="fr-FR"/>
              </w:rPr>
            </w:pPr>
          </w:p>
        </w:tc>
        <w:tc>
          <w:tcPr>
            <w:tcW w:w="1103" w:type="dxa"/>
            <w:shd w:val="clear" w:color="auto" w:fill="339966"/>
            <w:hideMark/>
          </w:tcPr>
          <w:p w14:paraId="7315755B" w14:textId="77777777" w:rsidR="009932F6" w:rsidRPr="00B4502D" w:rsidRDefault="009932F6" w:rsidP="00993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8"/>
                <w:lang w:val="fr-FR" w:eastAsia="fr-FR"/>
              </w:rPr>
            </w:pPr>
            <w:r w:rsidRPr="00B4502D">
              <w:rPr>
                <w:rFonts w:eastAsia="Times New Roman"/>
                <w:color w:val="FFFFFF" w:themeColor="background1"/>
                <w:sz w:val="28"/>
                <w:lang w:val="fr-FR" w:eastAsia="fr-FR"/>
              </w:rPr>
              <w:t>Crédits</w:t>
            </w:r>
          </w:p>
        </w:tc>
        <w:tc>
          <w:tcPr>
            <w:tcW w:w="1762" w:type="dxa"/>
            <w:shd w:val="clear" w:color="auto" w:fill="339966"/>
            <w:hideMark/>
          </w:tcPr>
          <w:p w14:paraId="194415E1" w14:textId="77777777" w:rsidR="009932F6" w:rsidRPr="00B4502D" w:rsidRDefault="009932F6" w:rsidP="00993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8"/>
                <w:lang w:val="fr-FR" w:eastAsia="fr-FR"/>
              </w:rPr>
            </w:pPr>
            <w:r w:rsidRPr="00B4502D">
              <w:rPr>
                <w:rFonts w:eastAsia="Times New Roman"/>
                <w:color w:val="FFFFFF" w:themeColor="background1"/>
                <w:sz w:val="28"/>
                <w:lang w:val="fr-FR" w:eastAsia="fr-FR"/>
              </w:rPr>
              <w:t xml:space="preserve">Ouverture </w:t>
            </w:r>
          </w:p>
        </w:tc>
        <w:tc>
          <w:tcPr>
            <w:tcW w:w="1103" w:type="dxa"/>
            <w:shd w:val="clear" w:color="auto" w:fill="339966"/>
            <w:hideMark/>
          </w:tcPr>
          <w:p w14:paraId="640808EA" w14:textId="77777777" w:rsidR="009932F6" w:rsidRPr="00B4502D" w:rsidRDefault="009932F6" w:rsidP="00993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8"/>
                <w:lang w:val="fr-FR" w:eastAsia="fr-FR"/>
              </w:rPr>
            </w:pPr>
            <w:r w:rsidRPr="00B4502D">
              <w:rPr>
                <w:rFonts w:eastAsia="Times New Roman"/>
                <w:color w:val="FFFFFF" w:themeColor="background1"/>
                <w:sz w:val="28"/>
                <w:lang w:val="fr-FR" w:eastAsia="fr-FR"/>
              </w:rPr>
              <w:t>Crédits</w:t>
            </w:r>
          </w:p>
        </w:tc>
      </w:tr>
      <w:tr w:rsidR="00BE4738" w:rsidRPr="009932F6" w14:paraId="2EE7DFD8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 w:val="restart"/>
            <w:shd w:val="clear" w:color="auto" w:fill="E2EFD9" w:themeFill="accent6" w:themeFillTint="33"/>
            <w:hideMark/>
          </w:tcPr>
          <w:p w14:paraId="0D198BDF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2817A7C1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2E8B645E" w14:textId="77777777" w:rsidR="00193F3B" w:rsidRDefault="00193F3B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3496280A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  <w:r w:rsidRPr="007F5484">
              <w:rPr>
                <w:rFonts w:eastAsia="Times New Roman"/>
                <w:smallCaps/>
                <w:sz w:val="22"/>
                <w:lang w:val="fr-FR" w:eastAsia="fr-FR"/>
              </w:rPr>
              <w:t>Licence 1 Semestre 1</w:t>
            </w:r>
          </w:p>
        </w:tc>
        <w:tc>
          <w:tcPr>
            <w:tcW w:w="2115" w:type="dxa"/>
            <w:hideMark/>
          </w:tcPr>
          <w:p w14:paraId="7F8AE2D1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Droit constitutionnel </w:t>
            </w:r>
            <w:r w:rsidR="00193F3B" w:rsidRPr="00301E81">
              <w:rPr>
                <w:rFonts w:eastAsia="Times New Roman"/>
                <w:sz w:val="21"/>
                <w:szCs w:val="21"/>
                <w:lang w:val="fr-FR" w:eastAsia="fr-FR"/>
              </w:rPr>
              <w:t>&amp;</w:t>
            </w: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 institutions comparées</w:t>
            </w:r>
          </w:p>
        </w:tc>
        <w:tc>
          <w:tcPr>
            <w:tcW w:w="1103" w:type="dxa"/>
            <w:hideMark/>
          </w:tcPr>
          <w:p w14:paraId="0E2C6E4E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  <w:hideMark/>
          </w:tcPr>
          <w:p w14:paraId="59905BE9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proofErr w:type="spellStart"/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Socio-histoire</w:t>
            </w:r>
            <w:proofErr w:type="spellEnd"/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 du champ politique français de 1789 à aujourd’hui</w:t>
            </w:r>
          </w:p>
        </w:tc>
        <w:tc>
          <w:tcPr>
            <w:tcW w:w="1103" w:type="dxa"/>
            <w:hideMark/>
          </w:tcPr>
          <w:p w14:paraId="1222CE9E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  <w:hideMark/>
          </w:tcPr>
          <w:p w14:paraId="5C5D3620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Langue vivante</w:t>
            </w:r>
          </w:p>
        </w:tc>
        <w:tc>
          <w:tcPr>
            <w:tcW w:w="1103" w:type="dxa"/>
            <w:hideMark/>
          </w:tcPr>
          <w:p w14:paraId="7EF24256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32039F93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E2EFD9" w:themeFill="accent6" w:themeFillTint="33"/>
            <w:hideMark/>
          </w:tcPr>
          <w:p w14:paraId="10832C07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  <w:hideMark/>
          </w:tcPr>
          <w:p w14:paraId="133CB1C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Introduction à la sociologie politique</w:t>
            </w:r>
          </w:p>
        </w:tc>
        <w:tc>
          <w:tcPr>
            <w:tcW w:w="1103" w:type="dxa"/>
            <w:hideMark/>
          </w:tcPr>
          <w:p w14:paraId="1A7C0F35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  <w:hideMark/>
          </w:tcPr>
          <w:p w14:paraId="246032C8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Économie politique</w:t>
            </w:r>
          </w:p>
        </w:tc>
        <w:tc>
          <w:tcPr>
            <w:tcW w:w="1103" w:type="dxa"/>
            <w:hideMark/>
          </w:tcPr>
          <w:p w14:paraId="1988E3EC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  <w:hideMark/>
          </w:tcPr>
          <w:p w14:paraId="339C903B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EC Propédeutique : Problèmes politiques, sociaux </w:t>
            </w:r>
            <w:r w:rsidR="00193F3B"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&amp; </w:t>
            </w: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économiques ou EC Découverte</w:t>
            </w:r>
          </w:p>
        </w:tc>
        <w:tc>
          <w:tcPr>
            <w:tcW w:w="1103" w:type="dxa"/>
            <w:hideMark/>
          </w:tcPr>
          <w:p w14:paraId="1855E374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79A89EA4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E2EFD9" w:themeFill="accent6" w:themeFillTint="33"/>
          </w:tcPr>
          <w:p w14:paraId="500D9A5A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34E74144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M2E (MTU)</w:t>
            </w:r>
          </w:p>
        </w:tc>
        <w:tc>
          <w:tcPr>
            <w:tcW w:w="1103" w:type="dxa"/>
          </w:tcPr>
          <w:p w14:paraId="26BFADFD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</w:tcPr>
          <w:p w14:paraId="2282860C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</w:tcPr>
          <w:p w14:paraId="045D4A9D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762" w:type="dxa"/>
          </w:tcPr>
          <w:p w14:paraId="0A040AC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</w:tcPr>
          <w:p w14:paraId="581D5DE9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</w:tr>
      <w:tr w:rsidR="00BE4738" w:rsidRPr="009932F6" w14:paraId="06270B37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 w:val="restart"/>
            <w:shd w:val="clear" w:color="auto" w:fill="E2EFD9" w:themeFill="accent6" w:themeFillTint="33"/>
            <w:hideMark/>
          </w:tcPr>
          <w:p w14:paraId="54DAE21A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6C20E845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457B7D54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  <w:r w:rsidRPr="007F5484">
              <w:rPr>
                <w:rFonts w:eastAsia="Times New Roman"/>
                <w:smallCaps/>
                <w:sz w:val="22"/>
                <w:lang w:val="fr-FR" w:eastAsia="fr-FR"/>
              </w:rPr>
              <w:t>Licence 1 Semestre 2</w:t>
            </w:r>
          </w:p>
        </w:tc>
        <w:tc>
          <w:tcPr>
            <w:tcW w:w="2115" w:type="dxa"/>
            <w:hideMark/>
          </w:tcPr>
          <w:p w14:paraId="2D83C679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Introduction à la théorie politique</w:t>
            </w:r>
          </w:p>
        </w:tc>
        <w:tc>
          <w:tcPr>
            <w:tcW w:w="1103" w:type="dxa"/>
            <w:hideMark/>
          </w:tcPr>
          <w:p w14:paraId="3361EA5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  <w:hideMark/>
          </w:tcPr>
          <w:p w14:paraId="4E6727E0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Techniques d’enquêtes quantitatives</w:t>
            </w:r>
          </w:p>
        </w:tc>
        <w:tc>
          <w:tcPr>
            <w:tcW w:w="1103" w:type="dxa"/>
            <w:hideMark/>
          </w:tcPr>
          <w:p w14:paraId="66719F47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  <w:hideMark/>
          </w:tcPr>
          <w:p w14:paraId="2FF85E01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Lire </w:t>
            </w:r>
            <w:r w:rsidR="00193F3B" w:rsidRPr="00301E81">
              <w:rPr>
                <w:rFonts w:eastAsia="Times New Roman"/>
                <w:sz w:val="21"/>
                <w:szCs w:val="21"/>
                <w:lang w:val="fr-FR" w:eastAsia="fr-FR"/>
              </w:rPr>
              <w:t>&amp;</w:t>
            </w: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 écrire le monde social</w:t>
            </w:r>
            <w:r w:rsidR="00193F3B"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 et </w:t>
            </w: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politique</w:t>
            </w:r>
          </w:p>
        </w:tc>
        <w:tc>
          <w:tcPr>
            <w:tcW w:w="1103" w:type="dxa"/>
            <w:hideMark/>
          </w:tcPr>
          <w:p w14:paraId="663B25D3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2210DA33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E2EFD9" w:themeFill="accent6" w:themeFillTint="33"/>
            <w:hideMark/>
          </w:tcPr>
          <w:p w14:paraId="22E5DE40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678C099A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Introduction aux relations internationales</w:t>
            </w:r>
          </w:p>
        </w:tc>
        <w:tc>
          <w:tcPr>
            <w:tcW w:w="1103" w:type="dxa"/>
            <w:hideMark/>
          </w:tcPr>
          <w:p w14:paraId="0259364F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  <w:hideMark/>
          </w:tcPr>
          <w:p w14:paraId="3385349D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Techniques d’enquêtes qualitatives</w:t>
            </w:r>
          </w:p>
        </w:tc>
        <w:tc>
          <w:tcPr>
            <w:tcW w:w="1103" w:type="dxa"/>
            <w:hideMark/>
          </w:tcPr>
          <w:p w14:paraId="1840428E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  <w:hideMark/>
          </w:tcPr>
          <w:p w14:paraId="7446120E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EC libre</w:t>
            </w:r>
          </w:p>
        </w:tc>
        <w:tc>
          <w:tcPr>
            <w:tcW w:w="1103" w:type="dxa"/>
            <w:hideMark/>
          </w:tcPr>
          <w:p w14:paraId="3F2FA670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301E81" w14:paraId="106E54E4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E2EFD9" w:themeFill="accent6" w:themeFillTint="33"/>
          </w:tcPr>
          <w:p w14:paraId="7B8FA340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5076CE74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Introduction à la sociologie de l’action publique</w:t>
            </w:r>
          </w:p>
        </w:tc>
        <w:tc>
          <w:tcPr>
            <w:tcW w:w="1103" w:type="dxa"/>
          </w:tcPr>
          <w:p w14:paraId="78DB09E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992" w:type="dxa"/>
          </w:tcPr>
          <w:p w14:paraId="061729D4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</w:tcPr>
          <w:p w14:paraId="41AC4DE8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762" w:type="dxa"/>
          </w:tcPr>
          <w:p w14:paraId="0A359759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</w:tcPr>
          <w:p w14:paraId="44FBF18C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</w:tr>
      <w:tr w:rsidR="00BE4738" w:rsidRPr="009932F6" w14:paraId="657449DB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 w:val="restart"/>
            <w:shd w:val="clear" w:color="auto" w:fill="7BD3A7"/>
            <w:hideMark/>
          </w:tcPr>
          <w:p w14:paraId="73BB57D0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7524AE1C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1B386993" w14:textId="77777777" w:rsidR="00193F3B" w:rsidRDefault="00193F3B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5E36FA8D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  <w:r w:rsidRPr="007F5484">
              <w:rPr>
                <w:rFonts w:eastAsia="Times New Roman"/>
                <w:smallCaps/>
                <w:sz w:val="22"/>
                <w:lang w:val="fr-FR" w:eastAsia="fr-FR"/>
              </w:rPr>
              <w:t>Licence 2 Semestre 3</w:t>
            </w:r>
          </w:p>
        </w:tc>
        <w:tc>
          <w:tcPr>
            <w:tcW w:w="2115" w:type="dxa"/>
          </w:tcPr>
          <w:p w14:paraId="7E36DE5E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Analyses de l’État et de l’administration publique</w:t>
            </w:r>
          </w:p>
        </w:tc>
        <w:tc>
          <w:tcPr>
            <w:tcW w:w="1103" w:type="dxa"/>
            <w:hideMark/>
          </w:tcPr>
          <w:p w14:paraId="19FDB29D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  <w:hideMark/>
          </w:tcPr>
          <w:p w14:paraId="34B9EB41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Enquête collective</w:t>
            </w:r>
          </w:p>
        </w:tc>
        <w:tc>
          <w:tcPr>
            <w:tcW w:w="1103" w:type="dxa"/>
            <w:hideMark/>
          </w:tcPr>
          <w:p w14:paraId="5B82FB9F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  <w:hideMark/>
          </w:tcPr>
          <w:p w14:paraId="4AFBE8E3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Langue vivante</w:t>
            </w:r>
          </w:p>
        </w:tc>
        <w:tc>
          <w:tcPr>
            <w:tcW w:w="1103" w:type="dxa"/>
            <w:hideMark/>
          </w:tcPr>
          <w:p w14:paraId="3D223C69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5EABF902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7BD3A7"/>
            <w:hideMark/>
          </w:tcPr>
          <w:p w14:paraId="39423BDD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3CFF56F1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Organisations internationales</w:t>
            </w:r>
          </w:p>
        </w:tc>
        <w:tc>
          <w:tcPr>
            <w:tcW w:w="1103" w:type="dxa"/>
            <w:hideMark/>
          </w:tcPr>
          <w:p w14:paraId="2AB7243C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  <w:hideMark/>
          </w:tcPr>
          <w:p w14:paraId="4EF5CC9D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Épistémologie des sciences sociales</w:t>
            </w:r>
          </w:p>
        </w:tc>
        <w:tc>
          <w:tcPr>
            <w:tcW w:w="1103" w:type="dxa"/>
            <w:hideMark/>
          </w:tcPr>
          <w:p w14:paraId="46B7936D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  <w:hideMark/>
          </w:tcPr>
          <w:p w14:paraId="0B9FA820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Compétences numériques (PIX)</w:t>
            </w:r>
          </w:p>
        </w:tc>
        <w:tc>
          <w:tcPr>
            <w:tcW w:w="1103" w:type="dxa"/>
            <w:hideMark/>
          </w:tcPr>
          <w:p w14:paraId="070179D8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2FFC0AF6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7BD3A7"/>
            <w:hideMark/>
          </w:tcPr>
          <w:p w14:paraId="067C9BA5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756BBB37" w14:textId="237E6749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Participation politique </w:t>
            </w:r>
            <w:r w:rsidR="00193F3B" w:rsidRPr="00301E81">
              <w:rPr>
                <w:rFonts w:eastAsia="Times New Roman"/>
                <w:sz w:val="21"/>
                <w:szCs w:val="21"/>
                <w:lang w:val="fr-FR" w:eastAsia="fr-FR"/>
              </w:rPr>
              <w:t>&amp;</w:t>
            </w: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 élections</w:t>
            </w:r>
          </w:p>
        </w:tc>
        <w:tc>
          <w:tcPr>
            <w:tcW w:w="1103" w:type="dxa"/>
            <w:hideMark/>
          </w:tcPr>
          <w:p w14:paraId="40FA289D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</w:tcPr>
          <w:p w14:paraId="57F4DDC9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  <w:hideMark/>
          </w:tcPr>
          <w:p w14:paraId="67ED3E2F" w14:textId="7F18C138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762" w:type="dxa"/>
          </w:tcPr>
          <w:p w14:paraId="13778CEF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  <w:hideMark/>
          </w:tcPr>
          <w:p w14:paraId="6C6669F7" w14:textId="73B98045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</w:tr>
      <w:tr w:rsidR="00BE4738" w:rsidRPr="009932F6" w14:paraId="5B8EEED1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7BD3A7"/>
            <w:hideMark/>
          </w:tcPr>
          <w:p w14:paraId="733D5E4C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14578F2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M3P</w:t>
            </w:r>
          </w:p>
        </w:tc>
        <w:tc>
          <w:tcPr>
            <w:tcW w:w="1103" w:type="dxa"/>
            <w:hideMark/>
          </w:tcPr>
          <w:p w14:paraId="7E1AD933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992" w:type="dxa"/>
          </w:tcPr>
          <w:p w14:paraId="670B6F2A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  <w:hideMark/>
          </w:tcPr>
          <w:p w14:paraId="3CB47EFE" w14:textId="07330BCE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762" w:type="dxa"/>
          </w:tcPr>
          <w:p w14:paraId="73789CDA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  <w:hideMark/>
          </w:tcPr>
          <w:p w14:paraId="75265B71" w14:textId="4C58A0AC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</w:tr>
      <w:tr w:rsidR="00BE4738" w:rsidRPr="009932F6" w14:paraId="1A09DD9A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 w:val="restart"/>
            <w:shd w:val="clear" w:color="auto" w:fill="7BD3A7"/>
            <w:hideMark/>
          </w:tcPr>
          <w:p w14:paraId="156CB001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05A8D54F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390BDAFE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  <w:r w:rsidRPr="007F5484">
              <w:rPr>
                <w:rFonts w:eastAsia="Times New Roman"/>
                <w:smallCaps/>
                <w:sz w:val="22"/>
                <w:lang w:val="fr-FR" w:eastAsia="fr-FR"/>
              </w:rPr>
              <w:t>Licence 2 Semestre 4</w:t>
            </w:r>
          </w:p>
        </w:tc>
        <w:tc>
          <w:tcPr>
            <w:tcW w:w="2115" w:type="dxa"/>
            <w:hideMark/>
          </w:tcPr>
          <w:p w14:paraId="16DD0AF5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Construction </w:t>
            </w:r>
            <w:r w:rsidR="00193F3B" w:rsidRPr="00301E81">
              <w:rPr>
                <w:rFonts w:eastAsia="Times New Roman"/>
                <w:sz w:val="21"/>
                <w:szCs w:val="21"/>
                <w:lang w:val="fr-FR" w:eastAsia="fr-FR"/>
              </w:rPr>
              <w:t>&amp;</w:t>
            </w: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 politique de l’Europe</w:t>
            </w:r>
          </w:p>
        </w:tc>
        <w:tc>
          <w:tcPr>
            <w:tcW w:w="1103" w:type="dxa"/>
            <w:hideMark/>
          </w:tcPr>
          <w:p w14:paraId="38FA13D3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</w:tcPr>
          <w:p w14:paraId="6CD74FAE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Crise, événement, exception</w:t>
            </w:r>
          </w:p>
        </w:tc>
        <w:tc>
          <w:tcPr>
            <w:tcW w:w="1103" w:type="dxa"/>
            <w:hideMark/>
          </w:tcPr>
          <w:p w14:paraId="1B18B1BC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</w:tcPr>
          <w:p w14:paraId="1D6745F3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EC libre</w:t>
            </w:r>
          </w:p>
        </w:tc>
        <w:tc>
          <w:tcPr>
            <w:tcW w:w="1103" w:type="dxa"/>
            <w:hideMark/>
          </w:tcPr>
          <w:p w14:paraId="1DF34E27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6E696C42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7BD3A7"/>
            <w:hideMark/>
          </w:tcPr>
          <w:p w14:paraId="07870F9A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636E3254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Histoire de la pensée politique</w:t>
            </w:r>
          </w:p>
        </w:tc>
        <w:tc>
          <w:tcPr>
            <w:tcW w:w="1103" w:type="dxa"/>
            <w:hideMark/>
          </w:tcPr>
          <w:p w14:paraId="158DA0E0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</w:tcPr>
          <w:p w14:paraId="75617B7A" w14:textId="434D12F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Culture numérique</w:t>
            </w:r>
          </w:p>
        </w:tc>
        <w:tc>
          <w:tcPr>
            <w:tcW w:w="1103" w:type="dxa"/>
          </w:tcPr>
          <w:p w14:paraId="37CAE9D0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</w:tcPr>
          <w:p w14:paraId="7E789904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Transition écologique</w:t>
            </w:r>
          </w:p>
        </w:tc>
        <w:tc>
          <w:tcPr>
            <w:tcW w:w="1103" w:type="dxa"/>
            <w:hideMark/>
          </w:tcPr>
          <w:p w14:paraId="73932117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11A03212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7BD3A7"/>
            <w:hideMark/>
          </w:tcPr>
          <w:p w14:paraId="5D6B1863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709363E8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Sociologie des mouvements sociaux</w:t>
            </w:r>
          </w:p>
        </w:tc>
        <w:tc>
          <w:tcPr>
            <w:tcW w:w="1103" w:type="dxa"/>
            <w:hideMark/>
          </w:tcPr>
          <w:p w14:paraId="616CA23B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</w:tcPr>
          <w:p w14:paraId="1F98A174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</w:tcPr>
          <w:p w14:paraId="3D76A7D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762" w:type="dxa"/>
          </w:tcPr>
          <w:p w14:paraId="0C110479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  <w:hideMark/>
          </w:tcPr>
          <w:p w14:paraId="03E55FFD" w14:textId="2E7ACBE2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bookmarkStart w:id="0" w:name="_GoBack"/>
            <w:bookmarkEnd w:id="0"/>
          </w:p>
        </w:tc>
      </w:tr>
      <w:tr w:rsidR="00BE4738" w:rsidRPr="009932F6" w14:paraId="4318002A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 w:val="restart"/>
            <w:shd w:val="clear" w:color="auto" w:fill="3AB075"/>
            <w:hideMark/>
          </w:tcPr>
          <w:p w14:paraId="24AA6D4A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392F79C3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  <w:r w:rsidRPr="007F5484">
              <w:rPr>
                <w:rFonts w:eastAsia="Times New Roman"/>
                <w:smallCaps/>
                <w:sz w:val="22"/>
                <w:lang w:val="fr-FR" w:eastAsia="fr-FR"/>
              </w:rPr>
              <w:t>Licence 3 Semestre 5</w:t>
            </w:r>
          </w:p>
        </w:tc>
        <w:tc>
          <w:tcPr>
            <w:tcW w:w="2115" w:type="dxa"/>
            <w:hideMark/>
          </w:tcPr>
          <w:p w14:paraId="6D5F0B6C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Théorie de la démocratie</w:t>
            </w:r>
          </w:p>
        </w:tc>
        <w:tc>
          <w:tcPr>
            <w:tcW w:w="1103" w:type="dxa"/>
            <w:hideMark/>
          </w:tcPr>
          <w:p w14:paraId="7246296A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7</w:t>
            </w:r>
          </w:p>
        </w:tc>
        <w:tc>
          <w:tcPr>
            <w:tcW w:w="1992" w:type="dxa"/>
          </w:tcPr>
          <w:p w14:paraId="08AFB907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EC de spécialisation interne ou externe</w:t>
            </w:r>
            <w:r w:rsidR="008F754E" w:rsidRPr="00301E81">
              <w:rPr>
                <w:rFonts w:eastAsia="Times New Roman"/>
                <w:sz w:val="21"/>
                <w:szCs w:val="21"/>
                <w:lang w:val="fr-FR" w:eastAsia="fr-FR"/>
              </w:rPr>
              <w:t>*</w:t>
            </w:r>
          </w:p>
        </w:tc>
        <w:tc>
          <w:tcPr>
            <w:tcW w:w="1103" w:type="dxa"/>
          </w:tcPr>
          <w:p w14:paraId="5859FC36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</w:tcPr>
          <w:p w14:paraId="0F2D8614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EC libre</w:t>
            </w:r>
          </w:p>
        </w:tc>
        <w:tc>
          <w:tcPr>
            <w:tcW w:w="1103" w:type="dxa"/>
            <w:hideMark/>
          </w:tcPr>
          <w:p w14:paraId="607D544D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00EACA89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3AB075"/>
            <w:hideMark/>
          </w:tcPr>
          <w:p w14:paraId="0ACB1E35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  <w:hideMark/>
          </w:tcPr>
          <w:p w14:paraId="2D528DA7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Médias </w:t>
            </w:r>
            <w:r w:rsidR="00193F3B" w:rsidRPr="00301E81">
              <w:rPr>
                <w:rFonts w:eastAsia="Times New Roman"/>
                <w:sz w:val="21"/>
                <w:szCs w:val="21"/>
                <w:lang w:val="fr-FR" w:eastAsia="fr-FR"/>
              </w:rPr>
              <w:t>&amp;</w:t>
            </w: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 espace public</w:t>
            </w:r>
          </w:p>
        </w:tc>
        <w:tc>
          <w:tcPr>
            <w:tcW w:w="1103" w:type="dxa"/>
            <w:hideMark/>
          </w:tcPr>
          <w:p w14:paraId="53111490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  <w:hideMark/>
          </w:tcPr>
          <w:p w14:paraId="514EAA6F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EC de spécialisation interne ou externe</w:t>
            </w:r>
            <w:r w:rsidR="008F754E" w:rsidRPr="00301E81">
              <w:rPr>
                <w:rFonts w:eastAsia="Times New Roman"/>
                <w:sz w:val="21"/>
                <w:szCs w:val="21"/>
                <w:lang w:val="fr-FR" w:eastAsia="fr-FR"/>
              </w:rPr>
              <w:t>*</w:t>
            </w:r>
          </w:p>
        </w:tc>
        <w:tc>
          <w:tcPr>
            <w:tcW w:w="1103" w:type="dxa"/>
          </w:tcPr>
          <w:p w14:paraId="51ED4129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  <w:hideMark/>
          </w:tcPr>
          <w:p w14:paraId="15E99DC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Tremplin master</w:t>
            </w:r>
          </w:p>
        </w:tc>
        <w:tc>
          <w:tcPr>
            <w:tcW w:w="1103" w:type="dxa"/>
            <w:hideMark/>
          </w:tcPr>
          <w:p w14:paraId="3E55E97A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5EBC4F00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3AB075"/>
            <w:hideMark/>
          </w:tcPr>
          <w:p w14:paraId="4A689BBF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2A2BCE26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M3P</w:t>
            </w:r>
          </w:p>
        </w:tc>
        <w:tc>
          <w:tcPr>
            <w:tcW w:w="1103" w:type="dxa"/>
            <w:hideMark/>
          </w:tcPr>
          <w:p w14:paraId="6D904BFD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992" w:type="dxa"/>
          </w:tcPr>
          <w:p w14:paraId="53C00DFD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</w:tcPr>
          <w:p w14:paraId="09E57E1A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762" w:type="dxa"/>
            <w:hideMark/>
          </w:tcPr>
          <w:p w14:paraId="44236118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  <w:hideMark/>
          </w:tcPr>
          <w:p w14:paraId="1C50B1A9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</w:tr>
      <w:tr w:rsidR="00BE4738" w:rsidRPr="009932F6" w14:paraId="2B232ECB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 w:val="restart"/>
            <w:shd w:val="clear" w:color="auto" w:fill="3AB075"/>
            <w:hideMark/>
          </w:tcPr>
          <w:p w14:paraId="792F8C16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301E2712" w14:textId="77777777" w:rsidR="007F5484" w:rsidRDefault="007F5484" w:rsidP="007F5484">
            <w:pPr>
              <w:jc w:val="center"/>
              <w:rPr>
                <w:rFonts w:eastAsia="Times New Roman"/>
                <w:b w:val="0"/>
                <w:bCs w:val="0"/>
                <w:smallCaps/>
                <w:sz w:val="22"/>
                <w:lang w:val="fr-FR" w:eastAsia="fr-FR"/>
              </w:rPr>
            </w:pPr>
          </w:p>
          <w:p w14:paraId="0FCDB9C7" w14:textId="77777777" w:rsidR="00BE4738" w:rsidRPr="007F5484" w:rsidRDefault="00BE4738" w:rsidP="007F5484">
            <w:pPr>
              <w:jc w:val="center"/>
              <w:rPr>
                <w:rFonts w:eastAsia="Times New Roman"/>
                <w:smallCaps/>
                <w:sz w:val="22"/>
                <w:lang w:val="fr-FR" w:eastAsia="fr-FR"/>
              </w:rPr>
            </w:pPr>
            <w:r w:rsidRPr="007F5484">
              <w:rPr>
                <w:rFonts w:eastAsia="Times New Roman"/>
                <w:smallCaps/>
                <w:sz w:val="22"/>
                <w:lang w:val="fr-FR" w:eastAsia="fr-FR"/>
              </w:rPr>
              <w:t>Licence 3 Semestre 6</w:t>
            </w:r>
          </w:p>
        </w:tc>
        <w:tc>
          <w:tcPr>
            <w:tcW w:w="2115" w:type="dxa"/>
          </w:tcPr>
          <w:p w14:paraId="625CD1C5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Politique des sciences </w:t>
            </w:r>
            <w:r w:rsidR="00193F3B" w:rsidRPr="00301E81">
              <w:rPr>
                <w:rFonts w:eastAsia="Times New Roman"/>
                <w:sz w:val="21"/>
                <w:szCs w:val="21"/>
                <w:lang w:val="fr-FR" w:eastAsia="fr-FR"/>
              </w:rPr>
              <w:t>&amp;</w:t>
            </w: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 xml:space="preserve"> environnement</w:t>
            </w:r>
          </w:p>
        </w:tc>
        <w:tc>
          <w:tcPr>
            <w:tcW w:w="1103" w:type="dxa"/>
            <w:hideMark/>
          </w:tcPr>
          <w:p w14:paraId="1DE8618A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</w:tcPr>
          <w:p w14:paraId="76F29EFB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EC de spécialisation interne ou externe</w:t>
            </w:r>
            <w:r w:rsidR="008F754E" w:rsidRPr="00301E81">
              <w:rPr>
                <w:rFonts w:eastAsia="Times New Roman"/>
                <w:sz w:val="21"/>
                <w:szCs w:val="21"/>
                <w:lang w:val="fr-FR" w:eastAsia="fr-FR"/>
              </w:rPr>
              <w:t>*</w:t>
            </w:r>
          </w:p>
        </w:tc>
        <w:tc>
          <w:tcPr>
            <w:tcW w:w="1103" w:type="dxa"/>
          </w:tcPr>
          <w:p w14:paraId="54C9F7B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  <w:hideMark/>
          </w:tcPr>
          <w:p w14:paraId="633052E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Langue vivante</w:t>
            </w:r>
          </w:p>
        </w:tc>
        <w:tc>
          <w:tcPr>
            <w:tcW w:w="1103" w:type="dxa"/>
            <w:hideMark/>
          </w:tcPr>
          <w:p w14:paraId="4FE8A588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3268F1F9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3AB075"/>
          </w:tcPr>
          <w:p w14:paraId="7FC6FA28" w14:textId="77777777" w:rsidR="00BE4738" w:rsidRPr="009932F6" w:rsidRDefault="00BE4738" w:rsidP="00BE4738">
            <w:pPr>
              <w:rPr>
                <w:rFonts w:eastAsia="Times New Roman"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0F77DDA0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Études de genre</w:t>
            </w:r>
          </w:p>
        </w:tc>
        <w:tc>
          <w:tcPr>
            <w:tcW w:w="1103" w:type="dxa"/>
          </w:tcPr>
          <w:p w14:paraId="047DF7CE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</w:tcPr>
          <w:p w14:paraId="6F98418C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EC de spécialisation interne ou externe</w:t>
            </w:r>
            <w:r w:rsidR="008F754E" w:rsidRPr="00301E81">
              <w:rPr>
                <w:rFonts w:eastAsia="Times New Roman"/>
                <w:sz w:val="21"/>
                <w:szCs w:val="21"/>
                <w:lang w:val="fr-FR" w:eastAsia="fr-FR"/>
              </w:rPr>
              <w:t>*</w:t>
            </w:r>
          </w:p>
        </w:tc>
        <w:tc>
          <w:tcPr>
            <w:tcW w:w="1103" w:type="dxa"/>
          </w:tcPr>
          <w:p w14:paraId="3F177C0A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  <w:tc>
          <w:tcPr>
            <w:tcW w:w="1762" w:type="dxa"/>
          </w:tcPr>
          <w:p w14:paraId="02FE5FEE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Expérience professionnelle</w:t>
            </w:r>
          </w:p>
        </w:tc>
        <w:tc>
          <w:tcPr>
            <w:tcW w:w="1103" w:type="dxa"/>
          </w:tcPr>
          <w:p w14:paraId="73B2EE3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3</w:t>
            </w:r>
          </w:p>
        </w:tc>
      </w:tr>
      <w:tr w:rsidR="00BE4738" w:rsidRPr="009932F6" w14:paraId="05B7C98E" w14:textId="77777777" w:rsidTr="00301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3AB075"/>
          </w:tcPr>
          <w:p w14:paraId="7F17A6F5" w14:textId="77777777" w:rsidR="00BE4738" w:rsidRPr="009932F6" w:rsidRDefault="00BE4738" w:rsidP="00BE4738">
            <w:pPr>
              <w:rPr>
                <w:rFonts w:eastAsia="Times New Roman"/>
                <w:sz w:val="22"/>
                <w:lang w:val="fr-FR" w:eastAsia="fr-FR"/>
              </w:rPr>
            </w:pPr>
          </w:p>
        </w:tc>
        <w:tc>
          <w:tcPr>
            <w:tcW w:w="2115" w:type="dxa"/>
          </w:tcPr>
          <w:p w14:paraId="496D0C79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Questions contemporaines de théorie politique</w:t>
            </w:r>
          </w:p>
        </w:tc>
        <w:tc>
          <w:tcPr>
            <w:tcW w:w="1103" w:type="dxa"/>
          </w:tcPr>
          <w:p w14:paraId="77846761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  <w:r w:rsidRPr="00301E81">
              <w:rPr>
                <w:rFonts w:eastAsia="Times New Roman"/>
                <w:sz w:val="21"/>
                <w:szCs w:val="21"/>
                <w:lang w:val="fr-FR" w:eastAsia="fr-FR"/>
              </w:rPr>
              <w:t>6</w:t>
            </w:r>
          </w:p>
        </w:tc>
        <w:tc>
          <w:tcPr>
            <w:tcW w:w="1992" w:type="dxa"/>
          </w:tcPr>
          <w:p w14:paraId="2D7EE3E2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</w:tcPr>
          <w:p w14:paraId="77F92173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762" w:type="dxa"/>
          </w:tcPr>
          <w:p w14:paraId="2B853C81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  <w:tc>
          <w:tcPr>
            <w:tcW w:w="1103" w:type="dxa"/>
          </w:tcPr>
          <w:p w14:paraId="316EE0EE" w14:textId="77777777" w:rsidR="00BE4738" w:rsidRPr="00301E81" w:rsidRDefault="00BE4738" w:rsidP="00301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1"/>
                <w:szCs w:val="21"/>
                <w:lang w:val="fr-FR" w:eastAsia="fr-FR"/>
              </w:rPr>
            </w:pPr>
          </w:p>
        </w:tc>
      </w:tr>
    </w:tbl>
    <w:p w14:paraId="76BBFDD0" w14:textId="77777777" w:rsidR="009932F6" w:rsidRDefault="009932F6" w:rsidP="009932F6">
      <w:pPr>
        <w:rPr>
          <w:sz w:val="22"/>
          <w:lang w:val="fr-FR"/>
        </w:rPr>
      </w:pPr>
    </w:p>
    <w:p w14:paraId="2504FB5E" w14:textId="7EE91A49" w:rsidR="008F754E" w:rsidRDefault="008F754E" w:rsidP="008F754E">
      <w:pPr>
        <w:jc w:val="both"/>
        <w:rPr>
          <w:rFonts w:eastAsia="Times New Roman"/>
          <w:b/>
          <w:sz w:val="20"/>
          <w:lang w:val="fr-FR" w:eastAsia="fr-FR"/>
        </w:rPr>
      </w:pPr>
    </w:p>
    <w:p w14:paraId="4FA2615F" w14:textId="77777777" w:rsidR="00301E81" w:rsidRDefault="00301E81" w:rsidP="008F754E">
      <w:pPr>
        <w:jc w:val="both"/>
        <w:rPr>
          <w:rFonts w:eastAsia="Times New Roman"/>
          <w:b/>
          <w:sz w:val="20"/>
          <w:lang w:val="fr-FR" w:eastAsia="fr-FR"/>
        </w:rPr>
      </w:pPr>
    </w:p>
    <w:p w14:paraId="4B2C00B7" w14:textId="77777777" w:rsidR="00B4502D" w:rsidRDefault="00B4502D" w:rsidP="008F754E">
      <w:pPr>
        <w:jc w:val="both"/>
        <w:rPr>
          <w:rFonts w:eastAsia="Times New Roman"/>
          <w:b/>
          <w:sz w:val="20"/>
          <w:lang w:val="fr-FR" w:eastAsia="fr-FR"/>
        </w:rPr>
      </w:pPr>
    </w:p>
    <w:p w14:paraId="722455D4" w14:textId="77777777" w:rsidR="00B4502D" w:rsidRDefault="00B4502D" w:rsidP="008F754E">
      <w:pPr>
        <w:jc w:val="both"/>
        <w:rPr>
          <w:rFonts w:eastAsia="Times New Roman"/>
          <w:b/>
          <w:sz w:val="20"/>
          <w:lang w:val="fr-FR" w:eastAsia="fr-FR"/>
        </w:rPr>
      </w:pPr>
    </w:p>
    <w:p w14:paraId="76FD8EB0" w14:textId="77777777" w:rsidR="00193F3B" w:rsidRDefault="00193F3B" w:rsidP="008F754E">
      <w:pPr>
        <w:jc w:val="both"/>
        <w:rPr>
          <w:rFonts w:eastAsia="Times New Roman"/>
          <w:b/>
          <w:sz w:val="28"/>
          <w:lang w:val="fr-FR" w:eastAsia="fr-FR"/>
        </w:rPr>
      </w:pPr>
      <w:r w:rsidRPr="008F754E">
        <w:rPr>
          <w:rFonts w:eastAsia="Times New Roman"/>
          <w:b/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F266C" wp14:editId="7631BC05">
                <wp:simplePos x="0" y="0"/>
                <wp:positionH relativeFrom="column">
                  <wp:posOffset>-215983</wp:posOffset>
                </wp:positionH>
                <wp:positionV relativeFrom="paragraph">
                  <wp:posOffset>86167</wp:posOffset>
                </wp:positionV>
                <wp:extent cx="6162040" cy="1478942"/>
                <wp:effectExtent l="0" t="0" r="10160" b="2603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14789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0DA3C" id="Rectangle : coins arrondis 2" o:spid="_x0000_s1026" style="position:absolute;margin-left:-17pt;margin-top:6.8pt;width:485.2pt;height:11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" filled="f" strokecolor="#396" strokeweight="1pt">
                <v:stroke joinstyle="miter"/>
              </v:roundrect>
            </w:pict>
          </mc:Fallback>
        </mc:AlternateContent>
      </w:r>
    </w:p>
    <w:p w14:paraId="7857ECB2" w14:textId="77777777" w:rsidR="008F754E" w:rsidRPr="008F754E" w:rsidRDefault="008F754E" w:rsidP="008F754E">
      <w:pPr>
        <w:jc w:val="both"/>
        <w:rPr>
          <w:lang w:val="fr-FR"/>
        </w:rPr>
      </w:pPr>
      <w:r w:rsidRPr="008F754E">
        <w:rPr>
          <w:rFonts w:eastAsia="Times New Roman"/>
          <w:b/>
          <w:sz w:val="28"/>
          <w:lang w:val="fr-FR" w:eastAsia="fr-FR"/>
        </w:rPr>
        <w:t>EC de spécialisation interne ou externe* :</w:t>
      </w:r>
      <w:r w:rsidRPr="008F754E">
        <w:rPr>
          <w:rFonts w:eastAsia="Times New Roman"/>
          <w:sz w:val="28"/>
          <w:lang w:val="fr-FR" w:eastAsia="fr-FR"/>
        </w:rPr>
        <w:t xml:space="preserve"> </w:t>
      </w:r>
    </w:p>
    <w:p w14:paraId="6020651E" w14:textId="77777777" w:rsidR="008F754E" w:rsidRPr="008F754E" w:rsidRDefault="008F754E" w:rsidP="008F754E">
      <w:pPr>
        <w:jc w:val="both"/>
        <w:rPr>
          <w:lang w:val="fr-FR"/>
        </w:rPr>
      </w:pPr>
    </w:p>
    <w:p w14:paraId="55D424DC" w14:textId="77777777" w:rsidR="007F5484" w:rsidRPr="008F754E" w:rsidRDefault="007F5484" w:rsidP="008F754E">
      <w:pPr>
        <w:jc w:val="both"/>
        <w:rPr>
          <w:lang w:val="fr-FR"/>
        </w:rPr>
      </w:pPr>
      <w:r w:rsidRPr="008F754E">
        <w:rPr>
          <w:lang w:val="fr-FR"/>
        </w:rPr>
        <w:t xml:space="preserve">En licence 3, les </w:t>
      </w:r>
      <w:proofErr w:type="spellStart"/>
      <w:r w:rsidRPr="008F754E">
        <w:rPr>
          <w:lang w:val="fr-FR"/>
        </w:rPr>
        <w:t>étudiant·es</w:t>
      </w:r>
      <w:proofErr w:type="spellEnd"/>
      <w:r w:rsidRPr="008F754E">
        <w:rPr>
          <w:lang w:val="fr-FR"/>
        </w:rPr>
        <w:t xml:space="preserve"> doivent choisir une spécialisation parmi deux </w:t>
      </w:r>
      <w:r w:rsidR="00193F3B">
        <w:rPr>
          <w:lang w:val="fr-FR"/>
        </w:rPr>
        <w:t>choix</w:t>
      </w:r>
      <w:r w:rsidRPr="008F754E">
        <w:rPr>
          <w:lang w:val="fr-FR"/>
        </w:rPr>
        <w:t xml:space="preserve"> internes (sociologie de l’action publique OU sociologie politique de l’international) ou trois </w:t>
      </w:r>
      <w:r w:rsidR="00193F3B">
        <w:rPr>
          <w:lang w:val="fr-FR"/>
        </w:rPr>
        <w:t>choix</w:t>
      </w:r>
      <w:r w:rsidRPr="008F754E">
        <w:rPr>
          <w:lang w:val="fr-FR"/>
        </w:rPr>
        <w:t xml:space="preserve"> externes (études européennes et internationales : 8 places OU géographie : 8 places, OU philosophie : 4 places) pour valider 2 </w:t>
      </w:r>
      <w:r w:rsidR="00193F3B">
        <w:rPr>
          <w:lang w:val="fr-FR"/>
        </w:rPr>
        <w:t>enseignements</w:t>
      </w:r>
      <w:r w:rsidRPr="008F754E">
        <w:rPr>
          <w:lang w:val="fr-FR"/>
        </w:rPr>
        <w:t xml:space="preserve"> au </w:t>
      </w:r>
      <w:r w:rsidR="00193F3B">
        <w:rPr>
          <w:lang w:val="fr-FR"/>
        </w:rPr>
        <w:t xml:space="preserve">semestre </w:t>
      </w:r>
      <w:r w:rsidRPr="008F754E">
        <w:rPr>
          <w:lang w:val="fr-FR"/>
        </w:rPr>
        <w:t xml:space="preserve">5 et 2 </w:t>
      </w:r>
      <w:r w:rsidR="00193F3B">
        <w:rPr>
          <w:lang w:val="fr-FR"/>
        </w:rPr>
        <w:t>enseignements</w:t>
      </w:r>
      <w:r w:rsidRPr="008F754E">
        <w:rPr>
          <w:lang w:val="fr-FR"/>
        </w:rPr>
        <w:t xml:space="preserve"> au </w:t>
      </w:r>
      <w:r w:rsidR="00193F3B">
        <w:rPr>
          <w:lang w:val="fr-FR"/>
        </w:rPr>
        <w:t xml:space="preserve">semestre </w:t>
      </w:r>
      <w:r w:rsidRPr="008F754E">
        <w:rPr>
          <w:lang w:val="fr-FR"/>
        </w:rPr>
        <w:t xml:space="preserve">6. </w:t>
      </w:r>
    </w:p>
    <w:p w14:paraId="4696FA84" w14:textId="77777777" w:rsidR="008F754E" w:rsidRDefault="008F754E" w:rsidP="007F5484">
      <w:pPr>
        <w:rPr>
          <w:b/>
          <w:bCs/>
          <w:lang w:val="fr-FR"/>
        </w:rPr>
      </w:pPr>
    </w:p>
    <w:p w14:paraId="291577B1" w14:textId="77777777" w:rsidR="008F754E" w:rsidRDefault="008F754E" w:rsidP="007F5484">
      <w:pPr>
        <w:rPr>
          <w:b/>
          <w:bCs/>
          <w:lang w:val="fr-FR"/>
        </w:rPr>
      </w:pPr>
    </w:p>
    <w:p w14:paraId="379D7DB2" w14:textId="77777777" w:rsidR="007F5484" w:rsidRDefault="007F5484" w:rsidP="008F754E">
      <w:pPr>
        <w:ind w:left="708"/>
        <w:rPr>
          <w:rFonts w:ascii="Calibri" w:hAnsi="Calibri" w:cs="Calibri"/>
          <w:b/>
          <w:bCs/>
          <w:color w:val="339966"/>
          <w:sz w:val="28"/>
          <w:szCs w:val="28"/>
          <w:lang w:val="fr-FR"/>
        </w:rPr>
      </w:pPr>
      <w:r w:rsidRPr="007F188D">
        <w:rPr>
          <w:b/>
          <w:bCs/>
          <w:lang w:val="fr-FR"/>
        </w:rPr>
        <w:t xml:space="preserve">Spécialisation interne </w:t>
      </w:r>
      <w:r w:rsidRPr="00430612">
        <w:rPr>
          <w:rFonts w:ascii="Century Gothic" w:hAnsi="Century Gothic" w:cs="Calibri"/>
          <w:b/>
          <w:bCs/>
          <w:color w:val="339966"/>
          <w:sz w:val="26"/>
          <w:szCs w:val="26"/>
          <w:lang w:val="fr-FR"/>
        </w:rPr>
        <w:t>Sociologie de l’action publique</w:t>
      </w:r>
    </w:p>
    <w:p w14:paraId="2FEBD894" w14:textId="77777777" w:rsidR="008F754E" w:rsidRPr="00953E4C" w:rsidRDefault="008F754E" w:rsidP="007F5484">
      <w:pPr>
        <w:rPr>
          <w:rFonts w:ascii="Calibri" w:hAnsi="Calibri" w:cs="Calibri"/>
          <w:b/>
          <w:bCs/>
          <w:sz w:val="28"/>
          <w:szCs w:val="28"/>
          <w:lang w:val="fr-FR"/>
        </w:rPr>
      </w:pPr>
    </w:p>
    <w:tbl>
      <w:tblPr>
        <w:tblStyle w:val="Grilledutableau"/>
        <w:tblW w:w="8647" w:type="dxa"/>
        <w:tblInd w:w="844" w:type="dxa"/>
        <w:tblLook w:val="04A0" w:firstRow="1" w:lastRow="0" w:firstColumn="1" w:lastColumn="0" w:noHBand="0" w:noVBand="1"/>
      </w:tblPr>
      <w:tblGrid>
        <w:gridCol w:w="1560"/>
        <w:gridCol w:w="2835"/>
        <w:gridCol w:w="4252"/>
      </w:tblGrid>
      <w:tr w:rsidR="007F5484" w:rsidRPr="00301E81" w14:paraId="09AE4F1B" w14:textId="77777777" w:rsidTr="008F754E">
        <w:tc>
          <w:tcPr>
            <w:tcW w:w="1560" w:type="dxa"/>
          </w:tcPr>
          <w:p w14:paraId="05E0611D" w14:textId="77777777" w:rsidR="007F5484" w:rsidRPr="00430612" w:rsidRDefault="007F5484" w:rsidP="0030307E">
            <w:pPr>
              <w:rPr>
                <w:sz w:val="22"/>
              </w:rPr>
            </w:pPr>
            <w:proofErr w:type="spellStart"/>
            <w:r w:rsidRPr="00430612">
              <w:rPr>
                <w:sz w:val="22"/>
              </w:rPr>
              <w:t>Semestre</w:t>
            </w:r>
            <w:proofErr w:type="spellEnd"/>
            <w:r w:rsidRPr="00430612">
              <w:rPr>
                <w:sz w:val="22"/>
              </w:rPr>
              <w:t xml:space="preserve"> 5</w:t>
            </w:r>
          </w:p>
        </w:tc>
        <w:tc>
          <w:tcPr>
            <w:tcW w:w="2835" w:type="dxa"/>
          </w:tcPr>
          <w:p w14:paraId="0BFA439F" w14:textId="77777777" w:rsidR="007F5484" w:rsidRPr="00430612" w:rsidRDefault="007F5484" w:rsidP="0030307E">
            <w:pPr>
              <w:rPr>
                <w:b/>
                <w:bCs/>
                <w:sz w:val="22"/>
                <w:lang w:val="fr-FR"/>
              </w:rPr>
            </w:pPr>
            <w:r w:rsidRPr="00430612">
              <w:rPr>
                <w:b/>
                <w:bCs/>
                <w:sz w:val="22"/>
                <w:lang w:val="fr-FR"/>
              </w:rPr>
              <w:t>Sociologie de l’action publique : Méthodes et théories </w:t>
            </w:r>
          </w:p>
        </w:tc>
        <w:tc>
          <w:tcPr>
            <w:tcW w:w="4252" w:type="dxa"/>
          </w:tcPr>
          <w:p w14:paraId="1B00D313" w14:textId="77777777" w:rsidR="007F5484" w:rsidRPr="00430612" w:rsidRDefault="007F5484" w:rsidP="0030307E">
            <w:pPr>
              <w:jc w:val="both"/>
              <w:rPr>
                <w:sz w:val="22"/>
                <w:lang w:val="fr-FR"/>
              </w:rPr>
            </w:pPr>
            <w:r w:rsidRPr="00430612">
              <w:rPr>
                <w:b/>
                <w:bCs/>
                <w:sz w:val="22"/>
                <w:lang w:val="fr-FR"/>
              </w:rPr>
              <w:t>Politiques publiques comparées</w:t>
            </w:r>
            <w:r w:rsidRPr="00430612">
              <w:rPr>
                <w:sz w:val="22"/>
                <w:lang w:val="fr-FR"/>
              </w:rPr>
              <w:t> (=Politique et société : Asie ou Afrique, les deux seront ouverts, car en commun avec l’autre spécialisation interne) </w:t>
            </w:r>
          </w:p>
        </w:tc>
      </w:tr>
      <w:tr w:rsidR="007F5484" w:rsidRPr="00301E81" w14:paraId="67526E49" w14:textId="77777777" w:rsidTr="008F754E">
        <w:tc>
          <w:tcPr>
            <w:tcW w:w="1560" w:type="dxa"/>
          </w:tcPr>
          <w:p w14:paraId="7F1D720E" w14:textId="77777777" w:rsidR="007F5484" w:rsidRPr="00430612" w:rsidRDefault="007F5484" w:rsidP="0030307E">
            <w:pPr>
              <w:rPr>
                <w:sz w:val="22"/>
              </w:rPr>
            </w:pPr>
            <w:proofErr w:type="spellStart"/>
            <w:r w:rsidRPr="00430612">
              <w:rPr>
                <w:sz w:val="22"/>
              </w:rPr>
              <w:t>Semestre</w:t>
            </w:r>
            <w:proofErr w:type="spellEnd"/>
            <w:r w:rsidRPr="00430612">
              <w:rPr>
                <w:sz w:val="22"/>
              </w:rPr>
              <w:t xml:space="preserve"> 6 </w:t>
            </w:r>
          </w:p>
        </w:tc>
        <w:tc>
          <w:tcPr>
            <w:tcW w:w="2835" w:type="dxa"/>
          </w:tcPr>
          <w:p w14:paraId="27AD8C95" w14:textId="77777777" w:rsidR="007F5484" w:rsidRPr="00430612" w:rsidRDefault="007F5484" w:rsidP="0030307E">
            <w:pPr>
              <w:rPr>
                <w:b/>
                <w:bCs/>
                <w:sz w:val="22"/>
              </w:rPr>
            </w:pPr>
            <w:r w:rsidRPr="00430612">
              <w:rPr>
                <w:b/>
                <w:bCs/>
                <w:sz w:val="22"/>
              </w:rPr>
              <w:t xml:space="preserve">Politiques </w:t>
            </w:r>
            <w:proofErr w:type="spellStart"/>
            <w:r w:rsidRPr="00430612">
              <w:rPr>
                <w:b/>
                <w:bCs/>
                <w:sz w:val="22"/>
              </w:rPr>
              <w:t>sectorielles</w:t>
            </w:r>
            <w:proofErr w:type="spellEnd"/>
            <w:r w:rsidRPr="00430612">
              <w:rPr>
                <w:b/>
                <w:bCs/>
                <w:sz w:val="22"/>
              </w:rPr>
              <w:t> </w:t>
            </w:r>
          </w:p>
        </w:tc>
        <w:tc>
          <w:tcPr>
            <w:tcW w:w="4252" w:type="dxa"/>
          </w:tcPr>
          <w:p w14:paraId="47F6EF98" w14:textId="77777777" w:rsidR="007F5484" w:rsidRPr="00430612" w:rsidRDefault="007F5484" w:rsidP="0030307E">
            <w:pPr>
              <w:jc w:val="both"/>
              <w:rPr>
                <w:b/>
                <w:bCs/>
                <w:sz w:val="22"/>
                <w:lang w:val="fr-FR"/>
              </w:rPr>
            </w:pPr>
            <w:r w:rsidRPr="00430612">
              <w:rPr>
                <w:b/>
                <w:bCs/>
                <w:sz w:val="22"/>
                <w:lang w:val="fr-FR"/>
              </w:rPr>
              <w:t>Groupes d’intérêts, syndicats et monde associatif </w:t>
            </w:r>
          </w:p>
        </w:tc>
      </w:tr>
    </w:tbl>
    <w:p w14:paraId="605DDF14" w14:textId="77777777" w:rsidR="007F5484" w:rsidRPr="00953E4C" w:rsidRDefault="007F5484" w:rsidP="007F5484">
      <w:pPr>
        <w:rPr>
          <w:sz w:val="20"/>
          <w:lang w:val="fr-FR"/>
        </w:rPr>
      </w:pPr>
    </w:p>
    <w:p w14:paraId="0C43E613" w14:textId="77777777" w:rsidR="008F754E" w:rsidRDefault="008F754E" w:rsidP="007F5484">
      <w:pPr>
        <w:rPr>
          <w:b/>
          <w:bCs/>
          <w:lang w:val="fr-FR"/>
        </w:rPr>
      </w:pPr>
    </w:p>
    <w:p w14:paraId="23DE1848" w14:textId="77777777" w:rsidR="007F5484" w:rsidRDefault="007F5484" w:rsidP="008F754E">
      <w:pPr>
        <w:ind w:left="708"/>
        <w:rPr>
          <w:rFonts w:ascii="Calibri" w:hAnsi="Calibri" w:cs="Calibri"/>
          <w:b/>
          <w:bCs/>
          <w:color w:val="339966"/>
          <w:sz w:val="28"/>
          <w:szCs w:val="28"/>
          <w:lang w:val="fr-FR"/>
        </w:rPr>
      </w:pPr>
      <w:r w:rsidRPr="007F188D">
        <w:rPr>
          <w:b/>
          <w:bCs/>
          <w:lang w:val="fr-FR"/>
        </w:rPr>
        <w:t xml:space="preserve">Spécialisation interne </w:t>
      </w:r>
      <w:r w:rsidRPr="00430612">
        <w:rPr>
          <w:rFonts w:ascii="Century Gothic" w:hAnsi="Century Gothic" w:cs="Calibri"/>
          <w:b/>
          <w:bCs/>
          <w:color w:val="339966"/>
          <w:sz w:val="26"/>
          <w:szCs w:val="26"/>
          <w:lang w:val="fr-FR"/>
        </w:rPr>
        <w:t>Sociologie politique de l’international</w:t>
      </w:r>
    </w:p>
    <w:p w14:paraId="1A565089" w14:textId="77777777" w:rsidR="008F754E" w:rsidRPr="008F754E" w:rsidRDefault="008F754E" w:rsidP="007F5484">
      <w:pPr>
        <w:rPr>
          <w:rFonts w:ascii="Calibri" w:hAnsi="Calibri" w:cs="Calibri"/>
          <w:b/>
          <w:bCs/>
          <w:color w:val="339966"/>
          <w:szCs w:val="28"/>
          <w:lang w:val="fr-FR"/>
        </w:rPr>
      </w:pPr>
    </w:p>
    <w:tbl>
      <w:tblPr>
        <w:tblStyle w:val="Grilledutableau"/>
        <w:tblW w:w="8647" w:type="dxa"/>
        <w:tblInd w:w="845" w:type="dxa"/>
        <w:tblLook w:val="04A0" w:firstRow="1" w:lastRow="0" w:firstColumn="1" w:lastColumn="0" w:noHBand="0" w:noVBand="1"/>
      </w:tblPr>
      <w:tblGrid>
        <w:gridCol w:w="1560"/>
        <w:gridCol w:w="2835"/>
        <w:gridCol w:w="4252"/>
      </w:tblGrid>
      <w:tr w:rsidR="007F5484" w:rsidRPr="00301E81" w14:paraId="51184B80" w14:textId="77777777" w:rsidTr="008F754E">
        <w:tc>
          <w:tcPr>
            <w:tcW w:w="1560" w:type="dxa"/>
          </w:tcPr>
          <w:p w14:paraId="7C5C4B18" w14:textId="77777777" w:rsidR="007F5484" w:rsidRPr="00953E4C" w:rsidRDefault="007F5484" w:rsidP="0030307E">
            <w:pPr>
              <w:rPr>
                <w:sz w:val="22"/>
              </w:rPr>
            </w:pPr>
            <w:proofErr w:type="spellStart"/>
            <w:r w:rsidRPr="00953E4C">
              <w:rPr>
                <w:sz w:val="22"/>
              </w:rPr>
              <w:t>Semestre</w:t>
            </w:r>
            <w:proofErr w:type="spellEnd"/>
            <w:r w:rsidRPr="00953E4C">
              <w:rPr>
                <w:sz w:val="22"/>
              </w:rPr>
              <w:t xml:space="preserve"> 5</w:t>
            </w:r>
          </w:p>
        </w:tc>
        <w:tc>
          <w:tcPr>
            <w:tcW w:w="2835" w:type="dxa"/>
          </w:tcPr>
          <w:p w14:paraId="7BB9C1D0" w14:textId="77777777" w:rsidR="007F5484" w:rsidRPr="00953E4C" w:rsidRDefault="007F5484" w:rsidP="0030307E">
            <w:pPr>
              <w:rPr>
                <w:b/>
                <w:bCs/>
                <w:sz w:val="22"/>
              </w:rPr>
            </w:pPr>
            <w:proofErr w:type="spellStart"/>
            <w:r w:rsidRPr="00953E4C">
              <w:rPr>
                <w:b/>
                <w:bCs/>
                <w:sz w:val="22"/>
              </w:rPr>
              <w:t>Conflits</w:t>
            </w:r>
            <w:proofErr w:type="spellEnd"/>
            <w:r w:rsidRPr="00953E4C">
              <w:rPr>
                <w:b/>
                <w:bCs/>
                <w:sz w:val="22"/>
              </w:rPr>
              <w:t xml:space="preserve">, </w:t>
            </w:r>
            <w:proofErr w:type="spellStart"/>
            <w:r w:rsidRPr="00953E4C">
              <w:rPr>
                <w:b/>
                <w:bCs/>
                <w:sz w:val="22"/>
              </w:rPr>
              <w:t>guerres</w:t>
            </w:r>
            <w:proofErr w:type="spellEnd"/>
            <w:r w:rsidRPr="00953E4C">
              <w:rPr>
                <w:b/>
                <w:bCs/>
                <w:sz w:val="22"/>
              </w:rPr>
              <w:t xml:space="preserve">, </w:t>
            </w:r>
            <w:proofErr w:type="spellStart"/>
            <w:r w:rsidRPr="00953E4C">
              <w:rPr>
                <w:b/>
                <w:bCs/>
                <w:sz w:val="22"/>
              </w:rPr>
              <w:t>sécurité</w:t>
            </w:r>
            <w:proofErr w:type="spellEnd"/>
          </w:p>
        </w:tc>
        <w:tc>
          <w:tcPr>
            <w:tcW w:w="4252" w:type="dxa"/>
          </w:tcPr>
          <w:p w14:paraId="204D508F" w14:textId="77777777" w:rsidR="007F5484" w:rsidRPr="00953E4C" w:rsidRDefault="007F5484" w:rsidP="0030307E">
            <w:pPr>
              <w:jc w:val="both"/>
              <w:rPr>
                <w:sz w:val="22"/>
                <w:lang w:val="fr-FR"/>
              </w:rPr>
            </w:pPr>
            <w:r w:rsidRPr="00953E4C">
              <w:rPr>
                <w:b/>
                <w:bCs/>
                <w:sz w:val="22"/>
                <w:lang w:val="fr-FR"/>
              </w:rPr>
              <w:t>Politique et société</w:t>
            </w:r>
            <w:r w:rsidRPr="00953E4C">
              <w:rPr>
                <w:sz w:val="22"/>
                <w:lang w:val="fr-FR"/>
              </w:rPr>
              <w:t xml:space="preserve"> (Asie ou Afrique, les deux seront ouverts, car en commun avec l’autre spécialisation interne) </w:t>
            </w:r>
          </w:p>
        </w:tc>
      </w:tr>
      <w:tr w:rsidR="007F5484" w:rsidRPr="00301E81" w14:paraId="2FBC4819" w14:textId="77777777" w:rsidTr="008F754E">
        <w:tc>
          <w:tcPr>
            <w:tcW w:w="1560" w:type="dxa"/>
          </w:tcPr>
          <w:p w14:paraId="2C154744" w14:textId="77777777" w:rsidR="007F5484" w:rsidRPr="00953E4C" w:rsidRDefault="007F5484" w:rsidP="0030307E">
            <w:pPr>
              <w:rPr>
                <w:sz w:val="22"/>
              </w:rPr>
            </w:pPr>
            <w:proofErr w:type="spellStart"/>
            <w:r w:rsidRPr="00953E4C">
              <w:rPr>
                <w:sz w:val="22"/>
              </w:rPr>
              <w:t>Semestre</w:t>
            </w:r>
            <w:proofErr w:type="spellEnd"/>
            <w:r w:rsidRPr="00953E4C">
              <w:rPr>
                <w:sz w:val="22"/>
              </w:rPr>
              <w:t xml:space="preserve"> 6 </w:t>
            </w:r>
          </w:p>
        </w:tc>
        <w:tc>
          <w:tcPr>
            <w:tcW w:w="2835" w:type="dxa"/>
          </w:tcPr>
          <w:p w14:paraId="475BC668" w14:textId="77777777" w:rsidR="007F5484" w:rsidRPr="00953E4C" w:rsidRDefault="007F5484" w:rsidP="0030307E">
            <w:pPr>
              <w:rPr>
                <w:b/>
                <w:bCs/>
                <w:sz w:val="22"/>
              </w:rPr>
            </w:pPr>
            <w:proofErr w:type="spellStart"/>
            <w:r w:rsidRPr="00953E4C">
              <w:rPr>
                <w:b/>
                <w:bCs/>
                <w:sz w:val="22"/>
              </w:rPr>
              <w:t>Souveraineté</w:t>
            </w:r>
            <w:proofErr w:type="spellEnd"/>
            <w:r w:rsidRPr="00953E4C">
              <w:rPr>
                <w:b/>
                <w:bCs/>
                <w:sz w:val="22"/>
              </w:rPr>
              <w:t xml:space="preserve"> et </w:t>
            </w:r>
            <w:proofErr w:type="spellStart"/>
            <w:r w:rsidRPr="00953E4C">
              <w:rPr>
                <w:b/>
                <w:bCs/>
                <w:sz w:val="22"/>
              </w:rPr>
              <w:t>mondialisation</w:t>
            </w:r>
            <w:proofErr w:type="spellEnd"/>
          </w:p>
        </w:tc>
        <w:tc>
          <w:tcPr>
            <w:tcW w:w="4252" w:type="dxa"/>
          </w:tcPr>
          <w:p w14:paraId="26D7614B" w14:textId="77777777" w:rsidR="007F5484" w:rsidRPr="00953E4C" w:rsidRDefault="007F5484" w:rsidP="0030307E">
            <w:pPr>
              <w:rPr>
                <w:b/>
                <w:bCs/>
                <w:sz w:val="22"/>
                <w:lang w:val="fr-FR"/>
              </w:rPr>
            </w:pPr>
            <w:r w:rsidRPr="00953E4C">
              <w:rPr>
                <w:b/>
                <w:bCs/>
                <w:sz w:val="22"/>
                <w:lang w:val="fr-FR"/>
              </w:rPr>
              <w:t xml:space="preserve">Politique et Société </w:t>
            </w:r>
            <w:r w:rsidRPr="00953E4C">
              <w:rPr>
                <w:sz w:val="22"/>
                <w:lang w:val="fr-FR"/>
              </w:rPr>
              <w:t>(Amérique Latine ou monde musulman : un seul ouvert par année)</w:t>
            </w:r>
          </w:p>
        </w:tc>
      </w:tr>
    </w:tbl>
    <w:p w14:paraId="6526B65B" w14:textId="77777777" w:rsidR="007F5484" w:rsidRPr="00953E4C" w:rsidRDefault="007F5484" w:rsidP="009932F6">
      <w:pPr>
        <w:rPr>
          <w:sz w:val="22"/>
          <w:lang w:val="fr-FR"/>
        </w:rPr>
      </w:pPr>
    </w:p>
    <w:sectPr w:rsidR="007F5484" w:rsidRPr="00953E4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87F1A" w14:textId="77777777" w:rsidR="00FA0D5E" w:rsidRDefault="00FA0D5E" w:rsidP="00953E4C">
      <w:r>
        <w:separator/>
      </w:r>
    </w:p>
  </w:endnote>
  <w:endnote w:type="continuationSeparator" w:id="0">
    <w:p w14:paraId="404C37AB" w14:textId="77777777" w:rsidR="00FA0D5E" w:rsidRDefault="00FA0D5E" w:rsidP="0095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242295"/>
      <w:docPartObj>
        <w:docPartGallery w:val="Page Numbers (Bottom of Page)"/>
        <w:docPartUnique/>
      </w:docPartObj>
    </w:sdtPr>
    <w:sdtEndPr/>
    <w:sdtContent>
      <w:p w14:paraId="7BB606AF" w14:textId="77777777" w:rsidR="009932F6" w:rsidRDefault="009932F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12B5160" w14:textId="77777777" w:rsidR="009932F6" w:rsidRDefault="009932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D7E42" w14:textId="77777777" w:rsidR="00FA0D5E" w:rsidRDefault="00FA0D5E" w:rsidP="00953E4C">
      <w:r>
        <w:separator/>
      </w:r>
    </w:p>
  </w:footnote>
  <w:footnote w:type="continuationSeparator" w:id="0">
    <w:p w14:paraId="12E40841" w14:textId="77777777" w:rsidR="00FA0D5E" w:rsidRDefault="00FA0D5E" w:rsidP="0095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A7E78"/>
    <w:multiLevelType w:val="hybridMultilevel"/>
    <w:tmpl w:val="394203A6"/>
    <w:styleLink w:val="Style1import"/>
    <w:lvl w:ilvl="0" w:tplc="372AD62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B42DB92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1E01EC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308487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4DC5A6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168E39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37C108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0FC7F3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1B821A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47F04EC"/>
    <w:multiLevelType w:val="hybridMultilevel"/>
    <w:tmpl w:val="A9303600"/>
    <w:lvl w:ilvl="0" w:tplc="CFEC34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088B"/>
    <w:multiLevelType w:val="hybridMultilevel"/>
    <w:tmpl w:val="C2361098"/>
    <w:lvl w:ilvl="0" w:tplc="2A5C82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52E48"/>
    <w:multiLevelType w:val="hybridMultilevel"/>
    <w:tmpl w:val="1338CF4A"/>
    <w:lvl w:ilvl="0" w:tplc="854049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334BC"/>
    <w:multiLevelType w:val="hybridMultilevel"/>
    <w:tmpl w:val="EEBEAF40"/>
    <w:numStyleLink w:val="Style2import"/>
  </w:abstractNum>
  <w:abstractNum w:abstractNumId="5" w15:restartNumberingAfterBreak="0">
    <w:nsid w:val="64C93912"/>
    <w:multiLevelType w:val="hybridMultilevel"/>
    <w:tmpl w:val="394203A6"/>
    <w:numStyleLink w:val="Style1import"/>
  </w:abstractNum>
  <w:abstractNum w:abstractNumId="6" w15:restartNumberingAfterBreak="0">
    <w:nsid w:val="71412754"/>
    <w:multiLevelType w:val="hybridMultilevel"/>
    <w:tmpl w:val="EEBEAF40"/>
    <w:styleLink w:val="Style2import"/>
    <w:lvl w:ilvl="0" w:tplc="BE623A6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86649EC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7A205C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6D20C2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6F33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1A85B1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2BA88A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96C3B4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1CEB86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785E11E5"/>
    <w:multiLevelType w:val="hybridMultilevel"/>
    <w:tmpl w:val="B79C5D80"/>
    <w:lvl w:ilvl="0" w:tplc="1FB4B3F8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D"/>
    <w:rsid w:val="0011530B"/>
    <w:rsid w:val="00193F3B"/>
    <w:rsid w:val="001A0392"/>
    <w:rsid w:val="00260EED"/>
    <w:rsid w:val="00293837"/>
    <w:rsid w:val="00301E81"/>
    <w:rsid w:val="003A2D26"/>
    <w:rsid w:val="00430612"/>
    <w:rsid w:val="0068792D"/>
    <w:rsid w:val="007B7FBF"/>
    <w:rsid w:val="007F188D"/>
    <w:rsid w:val="007F5484"/>
    <w:rsid w:val="008F754E"/>
    <w:rsid w:val="00925A87"/>
    <w:rsid w:val="00953E4C"/>
    <w:rsid w:val="009932F6"/>
    <w:rsid w:val="00B4502D"/>
    <w:rsid w:val="00BD11E1"/>
    <w:rsid w:val="00BE4738"/>
    <w:rsid w:val="00CE559F"/>
    <w:rsid w:val="00CE7AF9"/>
    <w:rsid w:val="00DC7B8C"/>
    <w:rsid w:val="00E71036"/>
    <w:rsid w:val="00FA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8DD5"/>
  <w15:chartTrackingRefBased/>
  <w15:docId w15:val="{8765913D-93D4-48B0-ADBB-6C74CF17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88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itre3">
    <w:name w:val="heading 3"/>
    <w:basedOn w:val="Normal"/>
    <w:link w:val="Titre3Car"/>
    <w:uiPriority w:val="9"/>
    <w:qFormat/>
    <w:rsid w:val="007F188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dfaut">
    <w:name w:val="Par défaut"/>
    <w:rsid w:val="007F188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sid w:val="007F188D"/>
    <w:pPr>
      <w:spacing w:after="0" w:line="240" w:lineRule="auto"/>
    </w:pPr>
    <w:rPr>
      <w:rFonts w:ascii="Helvetica Neue" w:eastAsia="Helvetica Neue" w:hAnsi="Helvetica Neue" w:cs="Helvetica Neue"/>
      <w:color w:val="000000"/>
      <w:lang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7F188D"/>
  </w:style>
  <w:style w:type="character" w:customStyle="1" w:styleId="Lien">
    <w:name w:val="Lien"/>
    <w:rsid w:val="007F188D"/>
    <w:rPr>
      <w:u w:val="single"/>
    </w:rPr>
  </w:style>
  <w:style w:type="character" w:customStyle="1" w:styleId="Hyperlink0">
    <w:name w:val="Hyperlink.0"/>
    <w:basedOn w:val="Lien"/>
    <w:rsid w:val="007F188D"/>
    <w:rPr>
      <w:outline w:val="0"/>
      <w:shadow w:val="0"/>
      <w:emboss w:val="0"/>
      <w:imprint w:val="0"/>
      <w:color w:val="0000FF"/>
      <w:u w:val="single" w:color="0000FF"/>
    </w:rPr>
  </w:style>
  <w:style w:type="character" w:customStyle="1" w:styleId="Hyperlink1">
    <w:name w:val="Hyperlink.1"/>
    <w:basedOn w:val="Lien"/>
    <w:rsid w:val="007F188D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0000FF"/>
      <w:sz w:val="24"/>
      <w:szCs w:val="24"/>
      <w:u w:val="single" w:color="0000FF"/>
    </w:rPr>
  </w:style>
  <w:style w:type="table" w:customStyle="1" w:styleId="TableNormal">
    <w:name w:val="Table Normal"/>
    <w:rsid w:val="007F188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import">
    <w:name w:val="Style 1 importé"/>
    <w:rsid w:val="007F188D"/>
    <w:pPr>
      <w:numPr>
        <w:numId w:val="3"/>
      </w:numPr>
    </w:pPr>
  </w:style>
  <w:style w:type="numbering" w:customStyle="1" w:styleId="Style2import">
    <w:name w:val="Style 2 importé"/>
    <w:rsid w:val="007F188D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7F188D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styleId="lev">
    <w:name w:val="Strong"/>
    <w:basedOn w:val="Policepardfaut"/>
    <w:uiPriority w:val="22"/>
    <w:qFormat/>
    <w:rsid w:val="007F188D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7F188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7F188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188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F188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18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53E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3E4C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53E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3E4C"/>
    <w:rPr>
      <w:rFonts w:ascii="Times New Roman" w:eastAsia="Arial Unicode MS" w:hAnsi="Times New Roman" w:cs="Times New Roman"/>
      <w:sz w:val="24"/>
      <w:szCs w:val="24"/>
      <w:lang w:val="en-US"/>
    </w:rPr>
  </w:style>
  <w:style w:type="table" w:styleId="TableauGrille1Clair">
    <w:name w:val="Grid Table 1 Light"/>
    <w:basedOn w:val="TableauNormal"/>
    <w:uiPriority w:val="46"/>
    <w:rsid w:val="009932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-Accentuation6">
    <w:name w:val="List Table 3 Accent 6"/>
    <w:basedOn w:val="TableauNormal"/>
    <w:uiPriority w:val="48"/>
    <w:rsid w:val="009932F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rsid w:val="00E710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paris8.fr/-So-Skilled-l-Universite-developpe-vos-softs-skills-libere-vos-talents-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ssier.parcoursup.fr/Candidats/public/fiches/afficherFicheFormation?g_ta_cod=15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cience-politique.univ-paris8.fr/Partir-a-l-etrang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1598</Words>
  <Characters>8794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0" baseType="lpstr">
      <vt:lpstr/>
      <vt:lpstr>        Formation complète et équilibrée</vt:lpstr>
      <vt:lpstr>        Spécialisation progressive</vt:lpstr>
      <vt:lpstr>        Maîtrise de techniques d’enquête en sciences sociales</vt:lpstr>
      <vt:lpstr>        Acquisition de compétences transversales</vt:lpstr>
      <vt:lpstr>        Accompagnement à la socialisation universitaire</vt:lpstr>
      <vt:lpstr>        Accompagnement à l’orientation professionnelle et à la poursuite en master</vt:lpstr>
      <vt:lpstr>        Ouverture internationale &amp; compétences en langues étrangères</vt:lpstr>
      <vt:lpstr>        Débouchés professionnels </vt:lpstr>
      <vt:lpstr>Conditions d’accès</vt:lpstr>
    </vt:vector>
  </TitlesOfParts>
  <Company>université paris8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Le-chene</dc:creator>
  <cp:keywords/>
  <dc:description/>
  <cp:lastModifiedBy>Elen Le-chene</cp:lastModifiedBy>
  <cp:revision>14</cp:revision>
  <cp:lastPrinted>2026-01-21T16:19:00Z</cp:lastPrinted>
  <dcterms:created xsi:type="dcterms:W3CDTF">2026-01-21T15:03:00Z</dcterms:created>
  <dcterms:modified xsi:type="dcterms:W3CDTF">2026-01-21T16:37:00Z</dcterms:modified>
</cp:coreProperties>
</file>